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F20" w:rsidRPr="0023443C" w:rsidRDefault="00D22F20" w:rsidP="00D22F20">
      <w:pPr>
        <w:jc w:val="right"/>
      </w:pPr>
      <w:r>
        <w:t>ПРОЕКТ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22F20" w:rsidRPr="001F5CF7" w:rsidTr="00D46E91">
        <w:tc>
          <w:tcPr>
            <w:tcW w:w="10188" w:type="dxa"/>
            <w:shd w:val="clear" w:color="auto" w:fill="auto"/>
          </w:tcPr>
          <w:p w:rsidR="00D22F20" w:rsidRPr="001F5CF7" w:rsidRDefault="00D22F20" w:rsidP="00D46E91">
            <w:pPr>
              <w:snapToGrid w:val="0"/>
              <w:jc w:val="center"/>
              <w:rPr>
                <w:b/>
                <w:sz w:val="16"/>
              </w:rPr>
            </w:pPr>
            <w:r w:rsidRPr="001F5CF7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 filled="t">
                  <v:fill color2="black"/>
                  <v:imagedata r:id="rId9" o:title=""/>
                </v:shape>
                <o:OLEObject Type="Embed" ProgID="Word.Picture.8" ShapeID="_x0000_i1025" DrawAspect="Content" ObjectID="_1775285267" r:id="rId10"/>
              </w:object>
            </w:r>
          </w:p>
        </w:tc>
      </w:tr>
      <w:tr w:rsidR="00D22F20" w:rsidRPr="001F5CF7" w:rsidTr="00D46E91">
        <w:trPr>
          <w:trHeight w:val="1155"/>
        </w:trPr>
        <w:tc>
          <w:tcPr>
            <w:tcW w:w="10188" w:type="dxa"/>
            <w:shd w:val="clear" w:color="auto" w:fill="auto"/>
          </w:tcPr>
          <w:p w:rsidR="00D22F20" w:rsidRPr="001F5CF7" w:rsidRDefault="00D22F20" w:rsidP="00D46E91">
            <w:pPr>
              <w:pStyle w:val="1"/>
              <w:snapToGrid w:val="0"/>
              <w:ind w:right="-828"/>
              <w:rPr>
                <w:sz w:val="16"/>
              </w:rPr>
            </w:pPr>
          </w:p>
          <w:p w:rsidR="00D22F20" w:rsidRPr="001F5CF7" w:rsidRDefault="00D22F20" w:rsidP="00D46E91">
            <w:pPr>
              <w:pStyle w:val="1"/>
              <w:jc w:val="center"/>
              <w:rPr>
                <w:b w:val="0"/>
                <w:szCs w:val="28"/>
              </w:rPr>
            </w:pPr>
            <w:r w:rsidRPr="001F5CF7">
              <w:rPr>
                <w:szCs w:val="28"/>
              </w:rPr>
              <w:t>АДМИНИСТРАЦИЯ МУНИЦИПАЛЬНОГО ОБРАЗОВАНИЯ</w:t>
            </w:r>
          </w:p>
          <w:p w:rsidR="00D22F20" w:rsidRPr="001F5CF7" w:rsidRDefault="00D22F20" w:rsidP="00D46E91">
            <w:pPr>
              <w:pStyle w:val="1"/>
              <w:jc w:val="center"/>
              <w:rPr>
                <w:b w:val="0"/>
                <w:szCs w:val="28"/>
              </w:rPr>
            </w:pPr>
            <w:r w:rsidRPr="001F5CF7">
              <w:rPr>
                <w:szCs w:val="28"/>
              </w:rPr>
              <w:t>«ДОРОГОБУЖСКИЙ РАЙОН» СМОЛЕНСКОЙ ОБЛАСТИ</w:t>
            </w:r>
          </w:p>
          <w:p w:rsidR="00D22F20" w:rsidRPr="001F5CF7" w:rsidRDefault="00D22F20" w:rsidP="00D46E91">
            <w:pPr>
              <w:pStyle w:val="2"/>
              <w:rPr>
                <w:szCs w:val="28"/>
              </w:rPr>
            </w:pPr>
          </w:p>
          <w:p w:rsidR="00D22F20" w:rsidRPr="001F5CF7" w:rsidRDefault="00D22F20" w:rsidP="00D46E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F5CF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F5CF7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D22F20" w:rsidRPr="001F5CF7" w:rsidRDefault="00D22F20" w:rsidP="00D46E91">
            <w:pPr>
              <w:jc w:val="center"/>
              <w:rPr>
                <w:b/>
                <w:bCs/>
              </w:rPr>
            </w:pPr>
          </w:p>
          <w:p w:rsidR="00D22F20" w:rsidRPr="001F5CF7" w:rsidRDefault="00D22F20" w:rsidP="00D46E91">
            <w:pPr>
              <w:jc w:val="center"/>
              <w:rPr>
                <w:b/>
                <w:bCs/>
              </w:rPr>
            </w:pPr>
          </w:p>
        </w:tc>
      </w:tr>
      <w:tr w:rsidR="00D22F20" w:rsidRPr="0023443C" w:rsidTr="00D46E91">
        <w:tc>
          <w:tcPr>
            <w:tcW w:w="10188" w:type="dxa"/>
            <w:shd w:val="clear" w:color="auto" w:fill="auto"/>
          </w:tcPr>
          <w:p w:rsidR="00D22F20" w:rsidRPr="0023443C" w:rsidRDefault="00D22F20" w:rsidP="00D46E91"/>
          <w:p w:rsidR="00D22F20" w:rsidRPr="0023443C" w:rsidRDefault="00D22F20" w:rsidP="00D46E91">
            <w:pPr>
              <w:rPr>
                <w:u w:val="single"/>
              </w:rPr>
            </w:pPr>
            <w:r w:rsidRPr="0023443C">
              <w:t xml:space="preserve">от </w:t>
            </w:r>
            <w:r w:rsidRPr="0023443C">
              <w:rPr>
                <w:u w:val="single"/>
              </w:rPr>
              <w:t>____________</w:t>
            </w:r>
            <w:r w:rsidRPr="0023443C">
              <w:t xml:space="preserve">№  </w:t>
            </w:r>
            <w:r w:rsidRPr="0023443C">
              <w:rPr>
                <w:u w:val="single"/>
              </w:rPr>
              <w:t>______</w:t>
            </w:r>
          </w:p>
        </w:tc>
      </w:tr>
    </w:tbl>
    <w:p w:rsidR="00D22F20" w:rsidRPr="0023443C" w:rsidRDefault="00D22F20" w:rsidP="00D22F20">
      <w:pPr>
        <w:ind w:right="5717"/>
        <w:jc w:val="both"/>
        <w:rPr>
          <w:lang w:val="en-US"/>
        </w:rPr>
      </w:pPr>
    </w:p>
    <w:p w:rsidR="00D22F20" w:rsidRPr="0023443C" w:rsidRDefault="00D22F20" w:rsidP="00D22F20">
      <w:pPr>
        <w:ind w:right="5717"/>
        <w:jc w:val="both"/>
        <w:rPr>
          <w:lang w:val="en-US"/>
        </w:rPr>
      </w:pPr>
    </w:p>
    <w:p w:rsidR="00D22F20" w:rsidRPr="0023443C" w:rsidRDefault="00D22F20" w:rsidP="00D22F20">
      <w:pPr>
        <w:ind w:right="5717"/>
        <w:jc w:val="both"/>
      </w:pPr>
      <w:r w:rsidRPr="0023443C">
        <w:t xml:space="preserve">О внесении 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 </w:t>
      </w:r>
    </w:p>
    <w:p w:rsidR="00D22F20" w:rsidRPr="0023443C" w:rsidRDefault="00D22F20" w:rsidP="00D22F20">
      <w:pPr>
        <w:jc w:val="both"/>
      </w:pPr>
    </w:p>
    <w:p w:rsidR="00D22F20" w:rsidRPr="0023443C" w:rsidRDefault="00D22F20" w:rsidP="00D22F20">
      <w:pPr>
        <w:jc w:val="both"/>
      </w:pPr>
    </w:p>
    <w:p w:rsidR="00D22F20" w:rsidRPr="0023443C" w:rsidRDefault="00D22F20" w:rsidP="00D22F20">
      <w:pPr>
        <w:jc w:val="both"/>
      </w:pPr>
    </w:p>
    <w:p w:rsidR="00D22F20" w:rsidRPr="0023443C" w:rsidRDefault="00D22F20" w:rsidP="00D22F20">
      <w:pPr>
        <w:ind w:firstLine="708"/>
        <w:jc w:val="both"/>
      </w:pPr>
      <w:bookmarkStart w:id="0" w:name="_GoBack"/>
      <w:r w:rsidRPr="0023443C">
        <w:t xml:space="preserve">Руководствуясь статьями 24,32,33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статьей 9.1 закона Смоленской области от 25.12.2022 № 155-з «О градостроительной деятельности на территории Смоленской области», принимая во внимание протокол публичных слушаний, </w:t>
      </w:r>
    </w:p>
    <w:bookmarkEnd w:id="0"/>
    <w:p w:rsidR="00D22F20" w:rsidRPr="0023443C" w:rsidRDefault="00D22F20" w:rsidP="00D22F20">
      <w:pPr>
        <w:ind w:firstLine="708"/>
        <w:jc w:val="both"/>
      </w:pPr>
    </w:p>
    <w:p w:rsidR="00D22F20" w:rsidRPr="0023443C" w:rsidRDefault="00D22F20" w:rsidP="00D22F20">
      <w:pPr>
        <w:pStyle w:val="21"/>
        <w:ind w:firstLine="720"/>
      </w:pPr>
      <w:r w:rsidRPr="0023443C">
        <w:t xml:space="preserve">Администрация муниципального образования «Дорогобужский район» Смоленской области  </w:t>
      </w:r>
      <w:proofErr w:type="gramStart"/>
      <w:r w:rsidRPr="0023443C">
        <w:t>п</w:t>
      </w:r>
      <w:proofErr w:type="gramEnd"/>
      <w:r w:rsidRPr="0023443C">
        <w:t xml:space="preserve"> о с т а н о в л я е т:</w:t>
      </w:r>
    </w:p>
    <w:p w:rsidR="00D22F20" w:rsidRPr="0023443C" w:rsidRDefault="00D22F20" w:rsidP="00D22F20">
      <w:pPr>
        <w:jc w:val="center"/>
        <w:rPr>
          <w:b/>
        </w:rPr>
      </w:pPr>
    </w:p>
    <w:p w:rsidR="00D22F20" w:rsidRPr="0023443C" w:rsidRDefault="00D22F20" w:rsidP="00D22F20">
      <w:pPr>
        <w:jc w:val="both"/>
      </w:pPr>
      <w:r w:rsidRPr="0023443C">
        <w:t xml:space="preserve"> </w:t>
      </w:r>
      <w:r w:rsidRPr="0023443C">
        <w:tab/>
        <w:t xml:space="preserve">1. </w:t>
      </w:r>
      <w:r w:rsidRPr="0023443C">
        <w:rPr>
          <w:color w:val="000000"/>
        </w:rPr>
        <w:t xml:space="preserve">Внести </w:t>
      </w:r>
      <w:r w:rsidRPr="0023443C">
        <w:t xml:space="preserve">в Правила землепользования и застройки муниципального образования Дорогобужское городское поселение Дорогобужского района Смоленской области, утвержденные решением </w:t>
      </w:r>
      <w:proofErr w:type="gramStart"/>
      <w:r w:rsidRPr="0023443C">
        <w:t>Совета депутатов Дорогобужского городского поселения Дорогобужского района Смоленской области</w:t>
      </w:r>
      <w:proofErr w:type="gramEnd"/>
      <w:r w:rsidRPr="0023443C">
        <w:t xml:space="preserve"> от 28.03.2012 № 12 «Об утверждении Правил землепользования и застройки муниципального образования Дорогобужское городское поселение Дорогобужского района Смоленской области»</w:t>
      </w:r>
      <w:r w:rsidRPr="0023443C">
        <w:rPr>
          <w:color w:val="000000"/>
        </w:rPr>
        <w:t xml:space="preserve"> следующие </w:t>
      </w:r>
      <w:r w:rsidRPr="0023443C">
        <w:t>изменения:</w:t>
      </w:r>
    </w:p>
    <w:p w:rsidR="00D22F20" w:rsidRPr="0023443C" w:rsidRDefault="00D22F20" w:rsidP="00D22F20">
      <w:pPr>
        <w:widowControl w:val="0"/>
        <w:ind w:firstLine="708"/>
        <w:jc w:val="both"/>
        <w:rPr>
          <w:rStyle w:val="30"/>
          <w:b w:val="0"/>
          <w:bCs/>
        </w:rPr>
      </w:pPr>
      <w:r w:rsidRPr="0023443C">
        <w:t xml:space="preserve">в </w:t>
      </w:r>
      <w:r w:rsidRPr="0023443C">
        <w:rPr>
          <w:rStyle w:val="30"/>
        </w:rPr>
        <w:t xml:space="preserve">главе 2 «Градостроительные регламенты» части </w:t>
      </w:r>
      <w:r w:rsidRPr="0023443C">
        <w:rPr>
          <w:rStyle w:val="30"/>
          <w:lang w:val="en-US"/>
        </w:rPr>
        <w:t>II</w:t>
      </w:r>
      <w:r w:rsidRPr="0023443C">
        <w:rPr>
          <w:rStyle w:val="30"/>
        </w:rPr>
        <w:t xml:space="preserve"> «Градостроительные регламенты» </w:t>
      </w:r>
      <w:r w:rsidRPr="0023443C">
        <w:t>статью 32.</w:t>
      </w:r>
      <w:r w:rsidRPr="0023443C">
        <w:rPr>
          <w:b/>
        </w:rPr>
        <w:t xml:space="preserve"> «</w:t>
      </w:r>
      <w:r w:rsidRPr="0023443C">
        <w:rPr>
          <w:rStyle w:val="30"/>
        </w:rPr>
        <w:t>Градостроительный регламент зоны застройки индивидуальными жилыми домами – Ж.1» изложить в следующей редакции:</w:t>
      </w:r>
    </w:p>
    <w:p w:rsidR="00D22F20" w:rsidRPr="0023443C" w:rsidRDefault="00D22F20" w:rsidP="00D22F20">
      <w:pPr>
        <w:widowControl w:val="0"/>
        <w:jc w:val="both"/>
        <w:rPr>
          <w:bCs/>
          <w:sz w:val="26"/>
          <w:szCs w:val="26"/>
        </w:rPr>
      </w:pPr>
      <w:r>
        <w:rPr>
          <w:rStyle w:val="30"/>
        </w:rPr>
        <w:tab/>
      </w:r>
      <w:r w:rsidRPr="0023443C">
        <w:rPr>
          <w:rStyle w:val="30"/>
        </w:rPr>
        <w:t>«Статья 32. Градостроительный регламент зоны застройки индивидуальными жилыми домами – Ж.1,</w:t>
      </w:r>
      <w:r w:rsidRPr="00143C0D">
        <w:t xml:space="preserve">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 (виды разрешенного использования и предельные параметры)</w:t>
      </w:r>
    </w:p>
    <w:p w:rsidR="00D22F20" w:rsidRPr="00143C0D" w:rsidRDefault="00D22F20" w:rsidP="00D22F20">
      <w:pPr>
        <w:ind w:firstLine="709"/>
        <w:jc w:val="both"/>
        <w:rPr>
          <w:u w:val="single"/>
        </w:rPr>
      </w:pPr>
      <w:r w:rsidRPr="00143C0D">
        <w:rPr>
          <w:u w:val="single"/>
        </w:rPr>
        <w:t>Цели выделения зоны: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lastRenderedPageBreak/>
        <w:t>- развитие на основе существующих и вновь осваиваемых территорий малоэтажной жилой застройки зон комфортного жилья, включающих отдельно стоящие и блокированные индивидуальные (одноквартирные) жилые дома;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t>- развитие сферы социального и культурно-бытового обслуживания, обеспечивающей потребности жителей указанных территорий;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t>- создание условий для размещения необходимых объектов инженерной и транспортной инфраструктур.</w:t>
      </w:r>
    </w:p>
    <w:p w:rsidR="00D22F20" w:rsidRPr="00D84CC4" w:rsidRDefault="00D22F20" w:rsidP="00D22F20">
      <w:pPr>
        <w:jc w:val="both"/>
        <w:rPr>
          <w:i/>
        </w:rPr>
      </w:pPr>
      <w:r w:rsidRPr="00D84CC4">
        <w:rPr>
          <w:i/>
        </w:rPr>
        <w:t xml:space="preserve">Код (числовое обозначение) </w:t>
      </w:r>
      <w:r w:rsidRPr="00D84CC4">
        <w:rPr>
          <w:i/>
          <w:iCs/>
        </w:rPr>
        <w:t xml:space="preserve">вида разрешенного использования земельного участка определяется в соответствии с классификатором </w:t>
      </w:r>
      <w:r w:rsidRPr="00D84CC4">
        <w:rPr>
          <w:i/>
        </w:rPr>
        <w:t>видов разрешенного использования земельных участков</w:t>
      </w:r>
      <w:r w:rsidRPr="00D84CC4">
        <w:rPr>
          <w:i/>
          <w:iCs/>
        </w:rPr>
        <w:t>,</w:t>
      </w:r>
      <w:r w:rsidRPr="00D84CC4">
        <w:rPr>
          <w:i/>
        </w:rPr>
        <w:t xml:space="preserve"> утвержденным Приказом Федеральной службы государственной регистрации кадастра и картографии от 10.11.2020 №</w:t>
      </w:r>
      <w:proofErr w:type="gramStart"/>
      <w:r w:rsidRPr="00D84CC4">
        <w:rPr>
          <w:i/>
        </w:rPr>
        <w:t>П</w:t>
      </w:r>
      <w:proofErr w:type="gramEnd"/>
      <w:r w:rsidRPr="00D84CC4">
        <w:rPr>
          <w:i/>
        </w:rPr>
        <w:t>/0412 «Об утверждении классификатора видов разрешенного использования земельных участков».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3C0D">
        <w:rPr>
          <w:b/>
        </w:rPr>
        <w:t>Виды разрешенного использования земельных участков и объектов капитального строительства.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t xml:space="preserve">ЗУ </w:t>
      </w:r>
      <w:r w:rsidRPr="00143C0D">
        <w:rPr>
          <w:lang w:val="en-US"/>
        </w:rPr>
        <w:t>min</w:t>
      </w:r>
      <w:r w:rsidRPr="00143C0D">
        <w:t xml:space="preserve"> - предельные </w:t>
      </w:r>
      <w:r w:rsidRPr="00143C0D">
        <w:rPr>
          <w:u w:val="single"/>
        </w:rPr>
        <w:t>минимальные</w:t>
      </w:r>
      <w:r w:rsidRPr="00143C0D">
        <w:t xml:space="preserve"> размеры земельных участков, в том числе их площадь;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t xml:space="preserve">ЗУ </w:t>
      </w:r>
      <w:proofErr w:type="spellStart"/>
      <w:r w:rsidRPr="00143C0D">
        <w:t>max</w:t>
      </w:r>
      <w:proofErr w:type="spellEnd"/>
      <w:r w:rsidRPr="00143C0D">
        <w:t xml:space="preserve"> - предельные </w:t>
      </w:r>
      <w:r w:rsidRPr="00143C0D">
        <w:rPr>
          <w:u w:val="single"/>
        </w:rPr>
        <w:t>максимальные</w:t>
      </w:r>
      <w:r w:rsidRPr="00143C0D">
        <w:t xml:space="preserve"> размеры земельных участков, в том числе их площадь;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t>Отступ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proofErr w:type="spellStart"/>
      <w:r w:rsidRPr="00143C0D">
        <w:t>Эт</w:t>
      </w:r>
      <w:proofErr w:type="spellEnd"/>
      <w:r w:rsidRPr="00143C0D">
        <w:t>. - предельное количество этажей или предельную высоту зданий, строений, сооружений;</w:t>
      </w:r>
    </w:p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</w:pPr>
      <w:r w:rsidRPr="00143C0D">
        <w:t>% 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10064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50"/>
        <w:gridCol w:w="1134"/>
        <w:gridCol w:w="1134"/>
        <w:gridCol w:w="1490"/>
        <w:gridCol w:w="1134"/>
        <w:gridCol w:w="1204"/>
      </w:tblGrid>
      <w:tr w:rsidR="00D22F20" w:rsidRPr="005958A7" w:rsidTr="00D46E91">
        <w:trPr>
          <w:trHeight w:val="1400"/>
          <w:jc w:val="center"/>
        </w:trPr>
        <w:tc>
          <w:tcPr>
            <w:tcW w:w="567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958A7">
              <w:rPr>
                <w:b/>
                <w:sz w:val="22"/>
                <w:szCs w:val="22"/>
              </w:rPr>
              <w:t>п</w:t>
            </w:r>
            <w:proofErr w:type="gramEnd"/>
            <w:r w:rsidRPr="005958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0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 xml:space="preserve">ЗУ </w:t>
            </w:r>
            <w:r w:rsidRPr="005958A7">
              <w:rPr>
                <w:b/>
                <w:sz w:val="22"/>
                <w:szCs w:val="22"/>
                <w:lang w:val="en-US"/>
              </w:rPr>
              <w:t>min</w:t>
            </w:r>
            <w:r w:rsidRPr="005958A7">
              <w:rPr>
                <w:b/>
                <w:sz w:val="22"/>
                <w:szCs w:val="22"/>
              </w:rPr>
              <w:t>,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 xml:space="preserve">ЗУ </w:t>
            </w:r>
            <w:r w:rsidRPr="005958A7">
              <w:rPr>
                <w:b/>
                <w:sz w:val="22"/>
                <w:szCs w:val="22"/>
                <w:lang w:val="en-US"/>
              </w:rPr>
              <w:t>max</w:t>
            </w:r>
            <w:r w:rsidRPr="005958A7">
              <w:rPr>
                <w:b/>
                <w:sz w:val="22"/>
                <w:szCs w:val="22"/>
              </w:rPr>
              <w:t>,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490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 xml:space="preserve">Отступ, </w:t>
            </w:r>
            <w:proofErr w:type="gramStart"/>
            <w:r w:rsidRPr="005958A7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958A7">
              <w:rPr>
                <w:b/>
                <w:sz w:val="22"/>
                <w:szCs w:val="22"/>
              </w:rPr>
              <w:t>Эт</w:t>
            </w:r>
            <w:proofErr w:type="spellEnd"/>
            <w:r w:rsidRPr="005958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4" w:type="dxa"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%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7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1500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1500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45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2.4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25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- 6 м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2 - 3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 xml:space="preserve">не подлежит </w:t>
            </w:r>
            <w:r w:rsidRPr="005958A7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 xml:space="preserve">не подлежит </w:t>
            </w:r>
            <w:r w:rsidRPr="005958A7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 xml:space="preserve">не подлежит </w:t>
            </w:r>
            <w:r w:rsidRPr="005958A7">
              <w:rPr>
                <w:sz w:val="22"/>
                <w:szCs w:val="22"/>
              </w:rPr>
              <w:lastRenderedPageBreak/>
              <w:t>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75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2.7.2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75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12.0.1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1500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Связь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</w:tcPr>
          <w:p w:rsidR="00D22F20" w:rsidRPr="005958A7" w:rsidRDefault="00D22F20" w:rsidP="00D46E91">
            <w:pPr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</w:tcPr>
          <w:p w:rsidR="00D22F20" w:rsidRPr="005958A7" w:rsidRDefault="00D22F20" w:rsidP="00D46E91">
            <w:pPr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04" w:type="dxa"/>
            <w:noWrap/>
          </w:tcPr>
          <w:p w:rsidR="00D22F20" w:rsidRPr="005958A7" w:rsidRDefault="00D22F20" w:rsidP="00D46E91">
            <w:pPr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7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7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8A7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14.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Магазины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4900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15.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4900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16.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18.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Спорт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15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75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19.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20.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1000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60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21.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7.2.2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75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22.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23.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2.1.1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40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24.</w:t>
            </w:r>
          </w:p>
        </w:tc>
        <w:tc>
          <w:tcPr>
            <w:tcW w:w="2551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85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1500</w:t>
            </w:r>
          </w:p>
        </w:tc>
        <w:tc>
          <w:tcPr>
            <w:tcW w:w="1490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не подлежит ограничению</w:t>
            </w:r>
          </w:p>
        </w:tc>
      </w:tr>
      <w:tr w:rsidR="00D22F20" w:rsidRPr="005958A7" w:rsidTr="00D46E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1) для жилого дома - от красной линии – 5 м;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от границы участка - 3 м*;</w:t>
            </w:r>
          </w:p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958A7">
              <w:rPr>
                <w:color w:val="FF0000"/>
                <w:sz w:val="22"/>
                <w:szCs w:val="22"/>
              </w:rPr>
              <w:t>2) для хозяйственных построек согласно СНиП</w:t>
            </w:r>
            <w:proofErr w:type="gramStart"/>
            <w:r w:rsidRPr="005958A7">
              <w:rPr>
                <w:color w:val="FF0000"/>
                <w:sz w:val="22"/>
                <w:szCs w:val="22"/>
              </w:rPr>
              <w:t xml:space="preserve"> ,</w:t>
            </w:r>
            <w:proofErr w:type="gramEnd"/>
            <w:r w:rsidRPr="005958A7">
              <w:rPr>
                <w:color w:val="FF0000"/>
                <w:sz w:val="22"/>
                <w:szCs w:val="22"/>
              </w:rPr>
              <w:t xml:space="preserve"> СП и др.*****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F20" w:rsidRPr="005958A7" w:rsidRDefault="00D22F20" w:rsidP="00D46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58A7">
              <w:rPr>
                <w:sz w:val="22"/>
                <w:szCs w:val="22"/>
              </w:rPr>
              <w:t>40</w:t>
            </w:r>
          </w:p>
        </w:tc>
      </w:tr>
    </w:tbl>
    <w:p w:rsidR="00D22F20" w:rsidRPr="00143C0D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* - в отдельных случаях допускается размещение объектов капитального строительства по красной линии улиц в условиях сложившейся застройки;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** - по специальному согласованию с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23443C">
        <w:rPr>
          <w:i/>
          <w:u w:val="single"/>
        </w:rPr>
        <w:t>*** - отступы от границ земельных участков: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- до других построек (бани, гаражи и др.) – 1,0 м;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- до стволов высокорослых деревьев – 4 м;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- до стволов среднерослых деревьев – 2 м;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- до кустарников – 1 м;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– до мусоросборников, дворовых туалетов – не менее 12 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i/>
        </w:rPr>
      </w:pPr>
      <w:r w:rsidRPr="0023443C">
        <w:rPr>
          <w:i/>
        </w:rPr>
        <w:t>**** - для формирования земельных участков под существующими многоквартирными жилыми домами в соответствии с жилищным законодательством.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>***** - для содержания сельскохозяйственных животных (птиц, мелкого рогатого скота и крупного рогатого скота) строго руководствоваться: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>-  Приказом Министерства сельского хозяйства Российской Федерации от 03.04.2006 № 103 «Об утверждении Ветеринарных правил содержания птиц на личных подворьях граждан и птицеводческих хозяйств открытого типа»;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>- Приказом Министерства сельского хозяйства Российской Федерации от 01.11.2022 № 774 « Об утверждении Ветеринарных правил содержания овец и коз в целях их воспроизводства, выращивания и реализации»;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>- Приказом Министерства сельского хозяйства Российской Федерации от 21.11.202 № 622 «Об утверждении Ветеринарных правил содержания крупного рогатого скота в целях его воспроизводства, выращивания и реализации».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>1. Жилые дома должны соответствовать: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 xml:space="preserve">а) застройке городского типа, без содержания скота и птицы  - для видов разрешенного использования земельных участков «Для индивидуального жилищного строительства» и «Блокированная жилая застройка»; 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443C">
        <w:rPr>
          <w:color w:val="FF0000"/>
        </w:rPr>
        <w:t>б) застройке городского типа, с возможностью содержания сельскохозяйственных животных (птиц, мелкого рогатого скота и крупного рогатого скота) - для вида разрешенного использования «Для ведения личного подсобного хозяйства (приусадебный земельный участок)».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23443C">
        <w:rPr>
          <w:color w:val="FF0000"/>
        </w:rPr>
        <w:t xml:space="preserve">Содержание сельскохозяйственных животных должно осуществляться строго с соблюдением норм и правил, установленных действующим законодательством. 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2.Контейнеры под твердые бытовые отходы необходимо устанавливать в переулках.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3. Противопожарные расстояния между зданиями согласно действующему законодательству.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4. Ширина земельного участка для строительства индивидуального жилого дома - не менее 15 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5. Вспомогательные строения и сооружения, за исключением гаражей, размещать со стороны улиц не допускается. Допускается блокировка хозяйственных построек к основному строению.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6. Требования к ограждениям земельных участков: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- характер ограждения, его высота должны быть единообразными как минимум на протяжении одного квартала с обеих сторон;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lastRenderedPageBreak/>
        <w:t>- ограждения с целью минимального затенения территории соседних земельных участков должны быть сетчатые или решетчатые высотой не более 1,8 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3443C">
        <w:rPr>
          <w:b/>
        </w:rPr>
        <w:t>7. Иные параметры – в соответствии с действующим законодательством.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Посадка деревьев и кустарников на придомовом участке в районе индивидуальной застройки не должны мешать соседям.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>Посадка зеленых насаждений по отношению к инженерным коммуникациям производится в соответствии с СП 42.13330.2016.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r w:rsidRPr="0023443C">
        <w:t xml:space="preserve">Размещение </w:t>
      </w:r>
      <w:proofErr w:type="gramStart"/>
      <w:r w:rsidRPr="0023443C">
        <w:t>жилых</w:t>
      </w:r>
      <w:proofErr w:type="gramEnd"/>
      <w:r w:rsidRPr="0023443C">
        <w:t xml:space="preserve"> и </w:t>
      </w:r>
      <w:proofErr w:type="spellStart"/>
      <w:r w:rsidRPr="0023443C">
        <w:t>хозпостроек</w:t>
      </w:r>
      <w:proofErr w:type="spellEnd"/>
      <w:r w:rsidRPr="0023443C">
        <w:t xml:space="preserve"> на земельном участке производится после согласования с органами местного самоуправления и </w:t>
      </w:r>
      <w:proofErr w:type="spellStart"/>
      <w:r w:rsidRPr="0023443C">
        <w:t>госнадзорными</w:t>
      </w:r>
      <w:proofErr w:type="spellEnd"/>
      <w:r w:rsidRPr="0023443C">
        <w:t xml:space="preserve"> службами в соответствии с действующими нормами и правилами.</w:t>
      </w:r>
    </w:p>
    <w:p w:rsidR="00D22F20" w:rsidRPr="0023443C" w:rsidRDefault="00D22F20" w:rsidP="00D22F20">
      <w:pPr>
        <w:autoSpaceDE w:val="0"/>
        <w:autoSpaceDN w:val="0"/>
        <w:adjustRightInd w:val="0"/>
        <w:ind w:firstLine="709"/>
        <w:jc w:val="both"/>
      </w:pPr>
      <w:proofErr w:type="gramStart"/>
      <w:r w:rsidRPr="0023443C">
        <w:t>В случае если земельный участок и объект капитального строительства расположены в границах планируемых территорий общего пользования, по результатам разработки проектов планировки, проектов межевания и рабочего проектирования автодорог общего пользования,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процедурами, предусмотренными Гражданским, Жилищным и Земельным кодексами Российской Федерации.</w:t>
      </w:r>
      <w:proofErr w:type="gramEnd"/>
      <w:r w:rsidRPr="0023443C">
        <w:t xml:space="preserve"> Изъятие земельных участков проводится в составе работ по реализации предложений Генерального плана. В дальнейшем изменяются границы территориальной зоны</w:t>
      </w:r>
      <w:proofErr w:type="gramStart"/>
      <w:r w:rsidRPr="0023443C">
        <w:t>.»</w:t>
      </w:r>
      <w:proofErr w:type="gramEnd"/>
    </w:p>
    <w:p w:rsidR="00D22F20" w:rsidRPr="0023443C" w:rsidRDefault="00D22F20" w:rsidP="00D22F20">
      <w:pPr>
        <w:ind w:firstLine="708"/>
        <w:jc w:val="both"/>
      </w:pPr>
      <w:r w:rsidRPr="0023443C">
        <w:t>2. Настоящее постановление подлежит опубликованию в газете «Край Дорогобужский» и размещению на официальном сайте муниципального образования «Дорогобужский район» Смоленской области.</w:t>
      </w:r>
    </w:p>
    <w:p w:rsidR="00D22F20" w:rsidRPr="005958A7" w:rsidRDefault="00D22F20" w:rsidP="00D22F20">
      <w:pPr>
        <w:pStyle w:val="a8"/>
        <w:ind w:firstLine="0"/>
        <w:rPr>
          <w:sz w:val="24"/>
        </w:rPr>
      </w:pPr>
      <w:r w:rsidRPr="0023443C">
        <w:rPr>
          <w:sz w:val="24"/>
        </w:rPr>
        <w:tab/>
      </w:r>
    </w:p>
    <w:p w:rsidR="00D22F20" w:rsidRPr="001F5CF7" w:rsidRDefault="00D22F20" w:rsidP="00D22F20">
      <w:pPr>
        <w:pStyle w:val="31"/>
        <w:tabs>
          <w:tab w:val="left" w:pos="0"/>
        </w:tabs>
        <w:spacing w:after="0"/>
        <w:ind w:right="-55"/>
        <w:jc w:val="both"/>
        <w:rPr>
          <w:sz w:val="26"/>
          <w:szCs w:val="26"/>
        </w:rPr>
      </w:pPr>
    </w:p>
    <w:p w:rsidR="00D22F20" w:rsidRPr="001F5CF7" w:rsidRDefault="00D22F20" w:rsidP="00D22F20">
      <w:pPr>
        <w:rPr>
          <w:sz w:val="26"/>
          <w:szCs w:val="26"/>
        </w:rPr>
      </w:pPr>
    </w:p>
    <w:p w:rsidR="00D22F20" w:rsidRPr="005958A7" w:rsidRDefault="00D22F20" w:rsidP="00D22F20">
      <w:r>
        <w:t xml:space="preserve">Глава муниципального образования </w:t>
      </w:r>
    </w:p>
    <w:p w:rsidR="00D22F20" w:rsidRPr="005958A7" w:rsidRDefault="00D22F20" w:rsidP="00D22F20">
      <w:r>
        <w:t xml:space="preserve">«Дорогобужский район» Смоленской области                                                            </w:t>
      </w:r>
      <w:r w:rsidRPr="005958A7">
        <w:t xml:space="preserve">    </w:t>
      </w:r>
      <w:r>
        <w:rPr>
          <w:b/>
        </w:rPr>
        <w:t xml:space="preserve">К.Н. </w:t>
      </w:r>
      <w:proofErr w:type="spellStart"/>
      <w:r>
        <w:rPr>
          <w:b/>
        </w:rPr>
        <w:t>Серенков</w:t>
      </w:r>
      <w:proofErr w:type="spellEnd"/>
    </w:p>
    <w:p w:rsidR="00D22F20" w:rsidRPr="001F5CF7" w:rsidRDefault="00D22F20" w:rsidP="00D22F20">
      <w:pPr>
        <w:jc w:val="right"/>
        <w:rPr>
          <w:sz w:val="27"/>
          <w:szCs w:val="27"/>
        </w:rPr>
      </w:pPr>
    </w:p>
    <w:p w:rsidR="00D22F20" w:rsidRPr="00302682" w:rsidRDefault="00D22F20" w:rsidP="00D22F20">
      <w:pPr>
        <w:rPr>
          <w:sz w:val="28"/>
          <w:szCs w:val="28"/>
        </w:rPr>
      </w:pPr>
    </w:p>
    <w:p w:rsidR="00D22F20" w:rsidRDefault="00D22F20" w:rsidP="00D22F20">
      <w:pPr>
        <w:jc w:val="right"/>
        <w:rPr>
          <w:sz w:val="27"/>
          <w:szCs w:val="27"/>
        </w:rPr>
      </w:pPr>
      <w:bookmarkStart w:id="1" w:name="bmEnd"/>
      <w:bookmarkStart w:id="2" w:name="OLE_LINK1"/>
      <w:bookmarkStart w:id="3" w:name="OLE_LINK2"/>
      <w:bookmarkEnd w:id="1"/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D22F20">
      <w:pPr>
        <w:jc w:val="right"/>
        <w:rPr>
          <w:sz w:val="27"/>
          <w:szCs w:val="27"/>
        </w:rPr>
      </w:pPr>
    </w:p>
    <w:p w:rsidR="00D22F20" w:rsidRDefault="00D22F20" w:rsidP="00A2093B">
      <w:pPr>
        <w:rPr>
          <w:sz w:val="27"/>
          <w:szCs w:val="27"/>
        </w:rPr>
      </w:pPr>
    </w:p>
    <w:bookmarkEnd w:id="2"/>
    <w:bookmarkEnd w:id="3"/>
    <w:p w:rsidR="005E7F6E" w:rsidRPr="00A2093B" w:rsidRDefault="005E7F6E" w:rsidP="005E7F6E">
      <w:pPr>
        <w:jc w:val="right"/>
        <w:rPr>
          <w:sz w:val="28"/>
          <w:szCs w:val="28"/>
        </w:rPr>
      </w:pPr>
      <w:r w:rsidRPr="00A2093B">
        <w:rPr>
          <w:sz w:val="28"/>
          <w:szCs w:val="28"/>
        </w:rPr>
        <w:lastRenderedPageBreak/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5E7F6E" w:rsidTr="005E7F6E">
        <w:tc>
          <w:tcPr>
            <w:tcW w:w="10421" w:type="dxa"/>
            <w:hideMark/>
          </w:tcPr>
          <w:p w:rsidR="005E7F6E" w:rsidRDefault="005E7F6E">
            <w:pPr>
              <w:widowControl w:val="0"/>
              <w:snapToGrid w:val="0"/>
              <w:jc w:val="center"/>
              <w:rPr>
                <w:b/>
                <w:sz w:val="16"/>
              </w:rPr>
            </w:pPr>
            <w:r>
              <w:rPr>
                <w:sz w:val="28"/>
              </w:rPr>
              <w:object w:dxaOrig="935" w:dyaOrig="1169">
                <v:shape id="_x0000_i1026" type="#_x0000_t75" style="width:39pt;height:48.75pt" o:ole="" filled="t">
                  <v:fill color2="black"/>
                  <v:imagedata r:id="rId9" o:title=""/>
                </v:shape>
                <o:OLEObject Type="Embed" ProgID="Word.Picture.8" ShapeID="_x0000_i1026" DrawAspect="Content" ObjectID="_1775285268" r:id="rId11"/>
              </w:object>
            </w:r>
          </w:p>
        </w:tc>
      </w:tr>
      <w:tr w:rsidR="005E7F6E" w:rsidTr="005E7F6E">
        <w:trPr>
          <w:trHeight w:val="1155"/>
        </w:trPr>
        <w:tc>
          <w:tcPr>
            <w:tcW w:w="10421" w:type="dxa"/>
          </w:tcPr>
          <w:p w:rsidR="005E7F6E" w:rsidRDefault="005E7F6E">
            <w:pPr>
              <w:pStyle w:val="1"/>
              <w:snapToGrid w:val="0"/>
              <w:ind w:right="-828"/>
              <w:rPr>
                <w:rFonts w:eastAsiaTheme="minorEastAsia"/>
                <w:sz w:val="16"/>
                <w:szCs w:val="20"/>
              </w:rPr>
            </w:pPr>
          </w:p>
          <w:p w:rsidR="005E7F6E" w:rsidRDefault="005E7F6E" w:rsidP="00A2093B">
            <w:pPr>
              <w:pStyle w:val="1"/>
              <w:ind w:right="-828"/>
              <w:jc w:val="center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АДМИНИСТРАЦИЯ МУНИЦИПАЛЬНОГО ОБРАЗОВАНИЯ</w:t>
            </w:r>
          </w:p>
          <w:p w:rsidR="005E7F6E" w:rsidRDefault="005E7F6E" w:rsidP="00A2093B">
            <w:pPr>
              <w:pStyle w:val="1"/>
              <w:ind w:right="-828"/>
              <w:jc w:val="center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«ДОРОГОБУЖСКИЙ РАЙОН» СМОЛЕНСКОЙ ОБЛАСТИ</w:t>
            </w:r>
          </w:p>
          <w:p w:rsidR="005E7F6E" w:rsidRDefault="005E7F6E">
            <w:pPr>
              <w:pStyle w:val="2"/>
              <w:jc w:val="left"/>
              <w:rPr>
                <w:rFonts w:eastAsiaTheme="minorEastAsia"/>
                <w:b w:val="0"/>
                <w:sz w:val="24"/>
              </w:rPr>
            </w:pPr>
          </w:p>
          <w:p w:rsidR="005E7F6E" w:rsidRDefault="005E7F6E" w:rsidP="00A2093B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5E7F6E" w:rsidTr="005E7F6E">
        <w:tc>
          <w:tcPr>
            <w:tcW w:w="10421" w:type="dxa"/>
          </w:tcPr>
          <w:p w:rsidR="005E7F6E" w:rsidRDefault="005E7F6E">
            <w:pPr>
              <w:snapToGrid w:val="0"/>
              <w:rPr>
                <w:sz w:val="26"/>
                <w:szCs w:val="26"/>
              </w:rPr>
            </w:pPr>
          </w:p>
          <w:p w:rsidR="005E7F6E" w:rsidRDefault="005E7F6E">
            <w:pPr>
              <w:rPr>
                <w:sz w:val="26"/>
                <w:szCs w:val="26"/>
              </w:rPr>
            </w:pPr>
          </w:p>
          <w:p w:rsidR="005E7F6E" w:rsidRDefault="005E7F6E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____________ №</w:t>
            </w:r>
            <w:r>
              <w:rPr>
                <w:sz w:val="26"/>
                <w:szCs w:val="26"/>
                <w:u w:val="single"/>
              </w:rPr>
              <w:t>__________</w:t>
            </w:r>
          </w:p>
        </w:tc>
      </w:tr>
    </w:tbl>
    <w:p w:rsidR="005E7F6E" w:rsidRDefault="005E7F6E" w:rsidP="005E7F6E">
      <w:pPr>
        <w:ind w:right="5717"/>
        <w:rPr>
          <w:sz w:val="26"/>
          <w:szCs w:val="26"/>
        </w:rPr>
      </w:pPr>
    </w:p>
    <w:p w:rsidR="005E7F6E" w:rsidRDefault="005E7F6E" w:rsidP="008E78E2">
      <w:pPr>
        <w:ind w:right="57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</w:t>
      </w:r>
      <w:r>
        <w:rPr>
          <w:sz w:val="26"/>
          <w:szCs w:val="26"/>
        </w:rPr>
        <w:t xml:space="preserve"> изменения в правила землепользования и застройки Михайловского сельского </w:t>
      </w:r>
      <w:proofErr w:type="gramStart"/>
      <w:r>
        <w:rPr>
          <w:sz w:val="26"/>
          <w:szCs w:val="26"/>
        </w:rPr>
        <w:t>поселения Дорогобужского района Смоленской области Дорогобужского района Смоленской области</w:t>
      </w:r>
      <w:proofErr w:type="gramEnd"/>
      <w:r>
        <w:rPr>
          <w:sz w:val="26"/>
          <w:szCs w:val="26"/>
        </w:rPr>
        <w:tab/>
      </w:r>
    </w:p>
    <w:p w:rsidR="005E7F6E" w:rsidRDefault="005E7F6E" w:rsidP="005E7F6E">
      <w:pPr>
        <w:rPr>
          <w:sz w:val="26"/>
          <w:szCs w:val="26"/>
        </w:rPr>
      </w:pPr>
    </w:p>
    <w:p w:rsidR="005E7F6E" w:rsidRDefault="005E7F6E" w:rsidP="005E7F6E">
      <w:pPr>
        <w:rPr>
          <w:sz w:val="26"/>
          <w:szCs w:val="26"/>
        </w:rPr>
      </w:pPr>
    </w:p>
    <w:p w:rsidR="005E7F6E" w:rsidRDefault="005E7F6E" w:rsidP="00A2093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статьями 32, 33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законами Смоленской области от 30.10.2014 № 141-з «О закреплении за сельскими поселениями Смоленской области отдельных вопросов местного значения», от 30.04.2021 № 37-з «О градостроительной деятельности на территории Смоленской области», ст. 7 Устава муниципального образования «Дорогобужский район» Смоленской</w:t>
      </w:r>
      <w:proofErr w:type="gramEnd"/>
      <w:r>
        <w:rPr>
          <w:sz w:val="26"/>
          <w:szCs w:val="26"/>
        </w:rPr>
        <w:t xml:space="preserve"> области, учитывая протокол публичных слушаний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№   </w:t>
      </w:r>
    </w:p>
    <w:p w:rsidR="005E7F6E" w:rsidRDefault="005E7F6E" w:rsidP="00A2093B">
      <w:pPr>
        <w:spacing w:line="216" w:lineRule="auto"/>
        <w:ind w:firstLine="708"/>
        <w:jc w:val="both"/>
        <w:rPr>
          <w:sz w:val="26"/>
          <w:szCs w:val="26"/>
        </w:rPr>
      </w:pPr>
    </w:p>
    <w:p w:rsidR="005E7F6E" w:rsidRDefault="005E7F6E" w:rsidP="00A2093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</w:t>
      </w:r>
      <w:r>
        <w:rPr>
          <w:spacing w:val="40"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5E7F6E" w:rsidRDefault="005E7F6E" w:rsidP="00A2093B">
      <w:pPr>
        <w:jc w:val="both"/>
        <w:rPr>
          <w:b/>
          <w:sz w:val="26"/>
          <w:szCs w:val="26"/>
        </w:rPr>
      </w:pPr>
    </w:p>
    <w:p w:rsidR="005E7F6E" w:rsidRDefault="005E7F6E" w:rsidP="00A2093B">
      <w:pPr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Внести следующее </w:t>
      </w:r>
      <w:r>
        <w:rPr>
          <w:sz w:val="26"/>
          <w:szCs w:val="26"/>
        </w:rPr>
        <w:t xml:space="preserve">изменение в правила землепользования и застройки Михайловского сельского поселения Дорогобужского района Смоленской области, утвержденные решением Дорогобужской районной Думы от </w:t>
      </w:r>
      <w:r>
        <w:rPr>
          <w:bCs/>
          <w:szCs w:val="28"/>
        </w:rPr>
        <w:t xml:space="preserve">27.03.2019 № 20 </w:t>
      </w:r>
      <w:r>
        <w:rPr>
          <w:sz w:val="26"/>
          <w:szCs w:val="26"/>
        </w:rPr>
        <w:t>«Об утверждении генерального плана и правил землепользования и застройки Михайловского сельского поселения Дорогобужского района Смоленской области»:</w:t>
      </w:r>
      <w:proofErr w:type="gramEnd"/>
    </w:p>
    <w:p w:rsidR="005E7F6E" w:rsidRDefault="005E7F6E" w:rsidP="00A2093B">
      <w:pPr>
        <w:jc w:val="both"/>
        <w:rPr>
          <w:sz w:val="26"/>
          <w:szCs w:val="26"/>
        </w:rPr>
      </w:pPr>
    </w:p>
    <w:p w:rsidR="005E7F6E" w:rsidRDefault="005E7F6E" w:rsidP="00A209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Статью </w:t>
      </w:r>
      <w:r>
        <w:rPr>
          <w:bCs/>
          <w:sz w:val="26"/>
          <w:szCs w:val="26"/>
        </w:rPr>
        <w:t>32  «Состав и кодировка территориальных зон» изложить в следующей редакции:</w:t>
      </w:r>
    </w:p>
    <w:p w:rsidR="005E7F6E" w:rsidRDefault="005E7F6E" w:rsidP="00A2093B">
      <w:pPr>
        <w:pStyle w:val="4"/>
        <w:spacing w:before="0"/>
        <w:jc w:val="both"/>
        <w:rPr>
          <w:b w:val="0"/>
          <w:sz w:val="26"/>
          <w:szCs w:val="26"/>
        </w:rPr>
      </w:pPr>
      <w:r w:rsidRPr="00A2093B">
        <w:rPr>
          <w:rStyle w:val="30"/>
          <w:rFonts w:cs="Times New Roman"/>
          <w:b/>
          <w:bCs w:val="0"/>
          <w:sz w:val="26"/>
          <w:szCs w:val="26"/>
          <w:u w:val="none"/>
        </w:rPr>
        <w:t>«</w:t>
      </w:r>
      <w:r>
        <w:rPr>
          <w:b w:val="0"/>
          <w:i/>
          <w:sz w:val="26"/>
          <w:szCs w:val="26"/>
        </w:rPr>
        <w:t>Статья 32. Состав и кодировка территориальных зон</w:t>
      </w:r>
    </w:p>
    <w:p w:rsidR="005E7F6E" w:rsidRDefault="005E7F6E" w:rsidP="00A209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Зонирование для целей регулирования использования территории поселения выполнено в соответствии со статьями 30-40 Градостроительного кодекса РФ.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Состав и кодировка территориальных зон в границах населенных пунктов: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Жилые зоны: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застройки индивидуальными жилыми домами – Ж.1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д. Ново-Михайловское, д. </w:t>
      </w:r>
      <w:proofErr w:type="spellStart"/>
      <w:r>
        <w:rPr>
          <w:sz w:val="26"/>
          <w:szCs w:val="26"/>
        </w:rPr>
        <w:t>Абрамово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Бабаедово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Болдино, д. </w:t>
      </w:r>
      <w:proofErr w:type="spellStart"/>
      <w:r>
        <w:rPr>
          <w:sz w:val="26"/>
          <w:szCs w:val="26"/>
        </w:rPr>
        <w:t>Борздилово</w:t>
      </w:r>
      <w:proofErr w:type="spellEnd"/>
      <w:r>
        <w:rPr>
          <w:sz w:val="26"/>
          <w:szCs w:val="26"/>
        </w:rPr>
        <w:t>, д. Будка железной дороги 21 км, д. Василисино, д. Васино, 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ороново, д. Городок, д. Деревенщики, д. </w:t>
      </w:r>
      <w:proofErr w:type="spellStart"/>
      <w:r>
        <w:rPr>
          <w:sz w:val="26"/>
          <w:szCs w:val="26"/>
        </w:rPr>
        <w:t>Егорьево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Елисеенки</w:t>
      </w:r>
      <w:proofErr w:type="spellEnd"/>
      <w:r>
        <w:rPr>
          <w:sz w:val="26"/>
          <w:szCs w:val="26"/>
        </w:rPr>
        <w:t xml:space="preserve">, д. Ивановское, </w:t>
      </w:r>
      <w:proofErr w:type="spellStart"/>
      <w:r>
        <w:rPr>
          <w:sz w:val="26"/>
          <w:szCs w:val="26"/>
        </w:rPr>
        <w:t>д.Ивонино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Карачарово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Клешники</w:t>
      </w:r>
      <w:proofErr w:type="spellEnd"/>
      <w:r>
        <w:rPr>
          <w:sz w:val="26"/>
          <w:szCs w:val="26"/>
        </w:rPr>
        <w:t xml:space="preserve">, д. Кузнецово, д. </w:t>
      </w:r>
      <w:proofErr w:type="spellStart"/>
      <w:r>
        <w:rPr>
          <w:sz w:val="26"/>
          <w:szCs w:val="26"/>
        </w:rPr>
        <w:t>Лелявино</w:t>
      </w:r>
      <w:proofErr w:type="spellEnd"/>
      <w:r>
        <w:rPr>
          <w:sz w:val="26"/>
          <w:szCs w:val="26"/>
        </w:rPr>
        <w:t xml:space="preserve">, д. Ленкино, </w:t>
      </w:r>
      <w:proofErr w:type="spellStart"/>
      <w:r>
        <w:rPr>
          <w:sz w:val="26"/>
          <w:szCs w:val="26"/>
        </w:rPr>
        <w:t>д.Леоньково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Мамыркино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Мартынково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Милоселье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Молодилово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д.Никулино</w:t>
      </w:r>
      <w:proofErr w:type="spellEnd"/>
      <w:r>
        <w:rPr>
          <w:sz w:val="26"/>
          <w:szCs w:val="26"/>
        </w:rPr>
        <w:t xml:space="preserve">, д. Новый Двор,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Полижакино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Прослище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Роги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язань</w:t>
      </w:r>
      <w:proofErr w:type="spellEnd"/>
      <w:r>
        <w:rPr>
          <w:sz w:val="26"/>
          <w:szCs w:val="26"/>
        </w:rPr>
        <w:t xml:space="preserve">, д. Садовая, д. </w:t>
      </w:r>
      <w:proofErr w:type="spellStart"/>
      <w:r>
        <w:rPr>
          <w:sz w:val="26"/>
          <w:szCs w:val="26"/>
        </w:rPr>
        <w:t>Самцово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Селюшки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Славково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Соколово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Ставково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д.Струково</w:t>
      </w:r>
      <w:proofErr w:type="spellEnd"/>
      <w:r>
        <w:rPr>
          <w:sz w:val="26"/>
          <w:szCs w:val="26"/>
        </w:rPr>
        <w:t xml:space="preserve">, д. Филино,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Щербинино</w:t>
      </w:r>
      <w:proofErr w:type="spellEnd"/>
      <w:r>
        <w:rPr>
          <w:sz w:val="26"/>
          <w:szCs w:val="26"/>
        </w:rPr>
        <w:t xml:space="preserve">, станция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>;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застройки малоэтажными жилыми домами (до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 - Ж.2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Садовая,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Шаломино</w:t>
      </w:r>
      <w:proofErr w:type="spellEnd"/>
      <w:proofErr w:type="gramStart"/>
      <w:r>
        <w:rPr>
          <w:sz w:val="26"/>
          <w:szCs w:val="26"/>
        </w:rPr>
        <w:t>,.</w:t>
      </w:r>
      <w:proofErr w:type="gramEnd"/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смешанной и общественно-деловой застройки - СОД в границах населенного пункта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Общественно-деловые зоны: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Многофункциональная общественно-деловая зона - О.1 в границах населенного пункта д. </w:t>
      </w:r>
      <w:proofErr w:type="gramStart"/>
      <w:r>
        <w:rPr>
          <w:sz w:val="26"/>
          <w:szCs w:val="26"/>
        </w:rPr>
        <w:t>Васино</w:t>
      </w:r>
      <w:proofErr w:type="gram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специализированной общественной застройки – О.2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Васино,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Производственные зоны, зоны инженерной и транспортной инфраструктур: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зона – П.1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Васино,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>, д. Садовая;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Коммунально-складская зона – П.2 в границах населенных пунктов - отсутствует.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транспортной инфраструктуры – Т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Василисино, д. Васино, д. </w:t>
      </w:r>
      <w:proofErr w:type="spellStart"/>
      <w:r>
        <w:rPr>
          <w:sz w:val="26"/>
          <w:szCs w:val="26"/>
        </w:rPr>
        <w:t>Егорьево</w:t>
      </w:r>
      <w:proofErr w:type="spellEnd"/>
      <w:r>
        <w:rPr>
          <w:sz w:val="26"/>
          <w:szCs w:val="26"/>
        </w:rPr>
        <w:t>, ,д. Ивановское, 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узнецово, д. </w:t>
      </w:r>
      <w:proofErr w:type="spellStart"/>
      <w:r>
        <w:rPr>
          <w:sz w:val="26"/>
          <w:szCs w:val="26"/>
        </w:rPr>
        <w:t>Лелявино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Прослище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Роги</w:t>
      </w:r>
      <w:proofErr w:type="spellEnd"/>
      <w:r>
        <w:rPr>
          <w:sz w:val="26"/>
          <w:szCs w:val="26"/>
        </w:rPr>
        <w:t xml:space="preserve">, д. Садовая,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Филино,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 xml:space="preserve">, станция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инженерной инфраструктуры – И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Ново-Михайловское, д. Болдино, д. Васино, д. </w:t>
      </w:r>
      <w:proofErr w:type="spellStart"/>
      <w:r>
        <w:rPr>
          <w:sz w:val="26"/>
          <w:szCs w:val="26"/>
        </w:rPr>
        <w:t>Мартынково</w:t>
      </w:r>
      <w:proofErr w:type="spellEnd"/>
      <w:r>
        <w:rPr>
          <w:sz w:val="26"/>
          <w:szCs w:val="26"/>
        </w:rPr>
        <w:t>, д. Новый Двор, д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язань, д. Садовая, д. </w:t>
      </w:r>
      <w:proofErr w:type="spellStart"/>
      <w:r>
        <w:rPr>
          <w:sz w:val="26"/>
          <w:szCs w:val="26"/>
        </w:rPr>
        <w:t>Самцово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 xml:space="preserve">. 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Зоны сельскохозяйственного использования:</w:t>
      </w:r>
    </w:p>
    <w:p w:rsidR="005E7F6E" w:rsidRDefault="005E7F6E" w:rsidP="00A209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сельскохозяйственных угодий - СХ.1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д. Ново-Михайловское, 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Деревенщики, д. </w:t>
      </w:r>
      <w:proofErr w:type="spellStart"/>
      <w:r>
        <w:rPr>
          <w:sz w:val="26"/>
          <w:szCs w:val="26"/>
        </w:rPr>
        <w:t>Мартынково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Соколово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Ставково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>.</w:t>
      </w:r>
      <w:proofErr w:type="gramEnd"/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садоводческих, огороднических или дачных некоммерческих объединений граждан - СХ.2 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д. Ново-Михайловское, 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Болдино, д. Василисино, д. Васино, д. </w:t>
      </w:r>
      <w:proofErr w:type="spellStart"/>
      <w:r>
        <w:rPr>
          <w:sz w:val="26"/>
          <w:szCs w:val="26"/>
        </w:rPr>
        <w:t>Елисеенки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Мамыркино</w:t>
      </w:r>
      <w:proofErr w:type="spellEnd"/>
      <w:r>
        <w:rPr>
          <w:sz w:val="26"/>
          <w:szCs w:val="26"/>
        </w:rPr>
        <w:t xml:space="preserve">, д. Никулино, д. Рязань, д. Садовая, д. </w:t>
      </w:r>
      <w:proofErr w:type="spellStart"/>
      <w:r>
        <w:rPr>
          <w:sz w:val="26"/>
          <w:szCs w:val="26"/>
        </w:rPr>
        <w:t>Самцово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 xml:space="preserve">. </w:t>
      </w:r>
      <w:proofErr w:type="gramEnd"/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зона сельскохозяйственных предприятий - СХ.3.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Белавка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Клешники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Молодилово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Садовая, д. </w:t>
      </w:r>
      <w:proofErr w:type="spellStart"/>
      <w:r>
        <w:rPr>
          <w:sz w:val="26"/>
          <w:szCs w:val="26"/>
        </w:rPr>
        <w:t>Самцово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>.</w:t>
      </w:r>
      <w:proofErr w:type="gramEnd"/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Рекреационные зоны: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Зона озелененных территорий общего пользования (лесопарки, парки, сады, скверы, бульвары, городские леса) - Р.1 в границах населенных пунктов - отсутствует.</w:t>
      </w:r>
      <w:proofErr w:type="gramEnd"/>
    </w:p>
    <w:p w:rsidR="005E7F6E" w:rsidRDefault="005E7F6E" w:rsidP="00A209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Зона отдыха - Р.2 в границах населенного пункта д. Городок.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Лесопарковая зона - Р.4 в границах населенных пунктов - отсутствует.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рекреационные зоны – Р.6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Ново-Михайловское,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Болдино, д. </w:t>
      </w:r>
      <w:proofErr w:type="spellStart"/>
      <w:r>
        <w:rPr>
          <w:sz w:val="26"/>
          <w:szCs w:val="26"/>
        </w:rPr>
        <w:t>Карачарово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Лелявино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амыркино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Соколово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Ставково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Зоны специального назначения: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кладбищ - СП.1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Болдино, д. Ивановское, д. </w:t>
      </w:r>
      <w:proofErr w:type="spellStart"/>
      <w:r>
        <w:rPr>
          <w:sz w:val="26"/>
          <w:szCs w:val="26"/>
        </w:rPr>
        <w:t>Карачарово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аломино</w:t>
      </w:r>
      <w:proofErr w:type="spell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Зона озелененных территорий специального назначения - СП.3 в границах населенных пунктов: 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Ново-Михайловское, д. </w:t>
      </w:r>
      <w:proofErr w:type="spellStart"/>
      <w:r>
        <w:rPr>
          <w:sz w:val="26"/>
          <w:szCs w:val="26"/>
        </w:rPr>
        <w:t>Бизюково</w:t>
      </w:r>
      <w:proofErr w:type="spellEnd"/>
      <w:r>
        <w:rPr>
          <w:sz w:val="26"/>
          <w:szCs w:val="26"/>
        </w:rPr>
        <w:t xml:space="preserve">, д. Болдино, д. Ивановское, д. </w:t>
      </w:r>
      <w:proofErr w:type="spellStart"/>
      <w:r>
        <w:rPr>
          <w:sz w:val="26"/>
          <w:szCs w:val="26"/>
        </w:rPr>
        <w:t>Карачарово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олибино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Пушкарево</w:t>
      </w:r>
      <w:proofErr w:type="spellEnd"/>
      <w:r>
        <w:rPr>
          <w:sz w:val="26"/>
          <w:szCs w:val="26"/>
        </w:rPr>
        <w:t xml:space="preserve">, д. Садовая, д. </w:t>
      </w:r>
      <w:proofErr w:type="spellStart"/>
      <w:r>
        <w:rPr>
          <w:sz w:val="26"/>
          <w:szCs w:val="26"/>
        </w:rPr>
        <w:t>Соколово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Струково</w:t>
      </w:r>
      <w:proofErr w:type="spellEnd"/>
      <w:r>
        <w:rPr>
          <w:sz w:val="26"/>
          <w:szCs w:val="26"/>
        </w:rPr>
        <w:t xml:space="preserve">, д. Филино, д. </w:t>
      </w:r>
      <w:proofErr w:type="spellStart"/>
      <w:r>
        <w:rPr>
          <w:sz w:val="26"/>
          <w:szCs w:val="26"/>
        </w:rPr>
        <w:t>Шаломино</w:t>
      </w:r>
      <w:proofErr w:type="spellEnd"/>
      <w:r>
        <w:rPr>
          <w:sz w:val="26"/>
          <w:szCs w:val="26"/>
        </w:rPr>
        <w:t>.</w:t>
      </w:r>
    </w:p>
    <w:p w:rsidR="005E7F6E" w:rsidRDefault="005E7F6E" w:rsidP="00A209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Производственные зоны, зоны инженерной и транспортной инфраструктуры (на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земли безопасности и землях иного специального назначения) – ЗПР»;</w:t>
      </w:r>
      <w:proofErr w:type="gramEnd"/>
    </w:p>
    <w:p w:rsidR="005E7F6E" w:rsidRDefault="005E7F6E" w:rsidP="00A2093B">
      <w:pPr>
        <w:jc w:val="both"/>
        <w:rPr>
          <w:sz w:val="26"/>
          <w:szCs w:val="26"/>
        </w:rPr>
      </w:pPr>
    </w:p>
    <w:p w:rsidR="005E7F6E" w:rsidRPr="00A2093B" w:rsidRDefault="005E7F6E" w:rsidP="00A2093B">
      <w:pPr>
        <w:ind w:firstLine="708"/>
        <w:jc w:val="both"/>
        <w:rPr>
          <w:rStyle w:val="30"/>
          <w:b w:val="0"/>
          <w:sz w:val="26"/>
          <w:szCs w:val="26"/>
        </w:rPr>
      </w:pPr>
      <w:r w:rsidRPr="00A2093B">
        <w:rPr>
          <w:sz w:val="26"/>
          <w:szCs w:val="26"/>
        </w:rPr>
        <w:t xml:space="preserve">1.2 в </w:t>
      </w:r>
      <w:r w:rsidRPr="00A2093B">
        <w:rPr>
          <w:b/>
          <w:sz w:val="26"/>
          <w:szCs w:val="26"/>
          <w:u w:val="single"/>
        </w:rPr>
        <w:t>статье</w:t>
      </w:r>
      <w:r w:rsidRPr="00A2093B">
        <w:rPr>
          <w:rStyle w:val="30"/>
          <w:b w:val="0"/>
        </w:rPr>
        <w:t xml:space="preserve"> </w:t>
      </w:r>
      <w:r w:rsidRPr="00A2093B">
        <w:rPr>
          <w:rStyle w:val="30"/>
        </w:rPr>
        <w:t>33.2</w:t>
      </w:r>
      <w:r w:rsidRPr="00A2093B">
        <w:rPr>
          <w:rStyle w:val="30"/>
          <w:b w:val="0"/>
        </w:rPr>
        <w:t xml:space="preserve"> </w:t>
      </w:r>
      <w:r w:rsidRPr="00A2093B">
        <w:rPr>
          <w:b/>
          <w:bCs/>
          <w:u w:val="single"/>
        </w:rPr>
        <w:t>Градостроительный регламент зоны застройки малоэтажными жилыми домами (до 4 этажей, включая мансардный) – Ж.2</w:t>
      </w:r>
      <w:r w:rsidRPr="00A2093B">
        <w:rPr>
          <w:bCs/>
          <w:u w:val="single"/>
        </w:rPr>
        <w:t>,</w:t>
      </w:r>
      <w:r w:rsidRPr="00A2093B">
        <w:rPr>
          <w:sz w:val="26"/>
          <w:szCs w:val="26"/>
          <w:u w:val="single"/>
        </w:rPr>
        <w:t xml:space="preserve"> </w:t>
      </w:r>
      <w:r w:rsidRPr="00A2093B">
        <w:rPr>
          <w:rStyle w:val="30"/>
          <w:sz w:val="26"/>
          <w:szCs w:val="26"/>
        </w:rPr>
        <w:t xml:space="preserve">главы 2 «Градостроительные регламенты» части </w:t>
      </w:r>
      <w:r w:rsidRPr="00A2093B">
        <w:rPr>
          <w:rStyle w:val="30"/>
          <w:sz w:val="26"/>
          <w:szCs w:val="26"/>
          <w:lang w:val="en-US"/>
        </w:rPr>
        <w:t>II</w:t>
      </w:r>
      <w:r w:rsidRPr="00A2093B">
        <w:rPr>
          <w:rStyle w:val="30"/>
          <w:sz w:val="26"/>
          <w:szCs w:val="26"/>
        </w:rPr>
        <w:t xml:space="preserve"> «Градостроительные регламенты»</w:t>
      </w:r>
      <w:r w:rsidRPr="00A2093B">
        <w:rPr>
          <w:szCs w:val="28"/>
        </w:rPr>
        <w:t xml:space="preserve"> </w:t>
      </w:r>
      <w:r w:rsidRPr="00A2093B">
        <w:rPr>
          <w:rStyle w:val="30"/>
          <w:sz w:val="26"/>
          <w:szCs w:val="26"/>
        </w:rPr>
        <w:t>таблицу дополнить строкой следующего содержания:</w:t>
      </w:r>
    </w:p>
    <w:p w:rsidR="005E7F6E" w:rsidRDefault="005E7F6E" w:rsidP="00A2093B">
      <w:pPr>
        <w:ind w:firstLine="708"/>
        <w:jc w:val="both"/>
        <w:rPr>
          <w:rStyle w:val="30"/>
          <w:b w:val="0"/>
          <w:sz w:val="26"/>
          <w:szCs w:val="2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77"/>
        <w:gridCol w:w="993"/>
        <w:gridCol w:w="1135"/>
        <w:gridCol w:w="970"/>
        <w:gridCol w:w="1583"/>
        <w:gridCol w:w="1135"/>
        <w:gridCol w:w="1046"/>
      </w:tblGrid>
      <w:tr w:rsidR="005E7F6E" w:rsidTr="005E7F6E">
        <w:trPr>
          <w:trHeight w:val="20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красной линии – 5 м;</w:t>
            </w:r>
          </w:p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F6E" w:rsidRDefault="005E7F6E" w:rsidP="00A20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5E7F6E" w:rsidRDefault="005E7F6E" w:rsidP="00A209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7F6E" w:rsidRDefault="005E7F6E" w:rsidP="00A2093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Настоящее постановление вступает в силу со дня его официального опубликования в газете «Край Дорогобужский» и подлежит размещению </w:t>
      </w:r>
      <w:r>
        <w:rPr>
          <w:sz w:val="26"/>
          <w:szCs w:val="26"/>
        </w:rPr>
        <w:t>на официальном сайте муниципального образования «Дорогобужский район» Смоленской области.</w:t>
      </w:r>
    </w:p>
    <w:p w:rsidR="005E7F6E" w:rsidRDefault="005E7F6E" w:rsidP="00A2093B">
      <w:pPr>
        <w:jc w:val="both"/>
        <w:rPr>
          <w:sz w:val="26"/>
          <w:szCs w:val="26"/>
        </w:rPr>
      </w:pPr>
    </w:p>
    <w:p w:rsidR="005E7F6E" w:rsidRDefault="005E7F6E" w:rsidP="00A2093B">
      <w:pPr>
        <w:jc w:val="both"/>
        <w:rPr>
          <w:sz w:val="26"/>
          <w:szCs w:val="26"/>
        </w:rPr>
      </w:pPr>
    </w:p>
    <w:p w:rsidR="005E7F6E" w:rsidRPr="005E7F6E" w:rsidRDefault="005E7F6E" w:rsidP="005E7F6E">
      <w:pPr>
        <w:rPr>
          <w:sz w:val="26"/>
          <w:szCs w:val="26"/>
        </w:rPr>
      </w:pPr>
      <w:r w:rsidRPr="005E7F6E">
        <w:rPr>
          <w:sz w:val="26"/>
          <w:szCs w:val="26"/>
        </w:rPr>
        <w:t xml:space="preserve">Глава муниципального образования </w:t>
      </w:r>
    </w:p>
    <w:p w:rsidR="005E7F6E" w:rsidRPr="005E7F6E" w:rsidRDefault="005E7F6E" w:rsidP="005E7F6E">
      <w:pPr>
        <w:rPr>
          <w:sz w:val="26"/>
          <w:szCs w:val="26"/>
        </w:rPr>
      </w:pPr>
      <w:r w:rsidRPr="005E7F6E">
        <w:rPr>
          <w:sz w:val="26"/>
          <w:szCs w:val="26"/>
        </w:rPr>
        <w:t xml:space="preserve">«Дорогобужский район» Смоленской области                                       </w:t>
      </w:r>
      <w:r>
        <w:rPr>
          <w:sz w:val="26"/>
          <w:szCs w:val="26"/>
        </w:rPr>
        <w:t xml:space="preserve">  </w:t>
      </w:r>
      <w:r w:rsidRPr="005E7F6E">
        <w:rPr>
          <w:sz w:val="26"/>
          <w:szCs w:val="26"/>
        </w:rPr>
        <w:t xml:space="preserve">          </w:t>
      </w:r>
      <w:r w:rsidRPr="005E7F6E">
        <w:rPr>
          <w:b/>
          <w:sz w:val="26"/>
          <w:szCs w:val="26"/>
        </w:rPr>
        <w:t xml:space="preserve">К.Н. </w:t>
      </w:r>
      <w:proofErr w:type="spellStart"/>
      <w:r w:rsidRPr="005E7F6E">
        <w:rPr>
          <w:b/>
          <w:sz w:val="26"/>
          <w:szCs w:val="26"/>
        </w:rPr>
        <w:t>Серенков</w:t>
      </w:r>
      <w:proofErr w:type="spellEnd"/>
    </w:p>
    <w:p w:rsidR="005E7F6E" w:rsidRPr="005E7F6E" w:rsidRDefault="005E7F6E" w:rsidP="005E7F6E">
      <w:pPr>
        <w:rPr>
          <w:b/>
          <w:sz w:val="26"/>
          <w:szCs w:val="26"/>
        </w:rPr>
      </w:pPr>
    </w:p>
    <w:p w:rsidR="005E7F6E" w:rsidRPr="005E7F6E" w:rsidRDefault="005E7F6E" w:rsidP="005E7F6E">
      <w:pPr>
        <w:rPr>
          <w:b/>
          <w:sz w:val="26"/>
          <w:szCs w:val="26"/>
        </w:rPr>
      </w:pPr>
    </w:p>
    <w:p w:rsidR="005E7F6E" w:rsidRDefault="005E7F6E" w:rsidP="005E7F6E">
      <w:pPr>
        <w:rPr>
          <w:b/>
        </w:rPr>
      </w:pPr>
    </w:p>
    <w:p w:rsidR="005E7F6E" w:rsidRDefault="005E7F6E" w:rsidP="005E7F6E">
      <w:pPr>
        <w:rPr>
          <w:b/>
        </w:rPr>
      </w:pPr>
    </w:p>
    <w:p w:rsidR="005E7F6E" w:rsidRDefault="005E7F6E" w:rsidP="005E7F6E">
      <w:pPr>
        <w:jc w:val="center"/>
        <w:rPr>
          <w:b/>
        </w:rPr>
      </w:pPr>
    </w:p>
    <w:p w:rsidR="00D22F20" w:rsidRDefault="00D22F20" w:rsidP="00D22F20">
      <w:pPr>
        <w:rPr>
          <w:sz w:val="27"/>
          <w:szCs w:val="27"/>
        </w:rPr>
      </w:pPr>
    </w:p>
    <w:p w:rsidR="004F1B73" w:rsidRPr="00C32C23" w:rsidRDefault="004F1B73" w:rsidP="00C32C23">
      <w:pPr>
        <w:pStyle w:val="a8"/>
        <w:ind w:firstLine="0"/>
        <w:jc w:val="left"/>
        <w:rPr>
          <w:szCs w:val="28"/>
        </w:rPr>
      </w:pPr>
    </w:p>
    <w:sectPr w:rsidR="004F1B73" w:rsidRPr="00C32C23" w:rsidSect="00CC55C8">
      <w:headerReference w:type="even" r:id="rId12"/>
      <w:headerReference w:type="default" r:id="rId13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AC" w:rsidRDefault="001642AC">
      <w:r>
        <w:separator/>
      </w:r>
    </w:p>
  </w:endnote>
  <w:endnote w:type="continuationSeparator" w:id="0">
    <w:p w:rsidR="001642AC" w:rsidRDefault="0016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AC" w:rsidRDefault="001642AC">
      <w:r>
        <w:separator/>
      </w:r>
    </w:p>
  </w:footnote>
  <w:footnote w:type="continuationSeparator" w:id="0">
    <w:p w:rsidR="001642AC" w:rsidRDefault="0016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9F" w:rsidRDefault="00EB42AD" w:rsidP="00D901A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3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59F" w:rsidRDefault="001642AC">
    <w:pPr>
      <w:pStyle w:val="a9"/>
    </w:pPr>
  </w:p>
  <w:p w:rsidR="005C759F" w:rsidRDefault="001642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9F" w:rsidRDefault="00EB42AD" w:rsidP="00D901A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3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2AF9">
      <w:rPr>
        <w:rStyle w:val="a4"/>
        <w:noProof/>
      </w:rPr>
      <w:t>2</w:t>
    </w:r>
    <w:r>
      <w:rPr>
        <w:rStyle w:val="a4"/>
      </w:rPr>
      <w:fldChar w:fldCharType="end"/>
    </w:r>
  </w:p>
  <w:p w:rsidR="005C759F" w:rsidRDefault="001642AC">
    <w:pPr>
      <w:pStyle w:val="a9"/>
    </w:pPr>
  </w:p>
  <w:p w:rsidR="005C759F" w:rsidRDefault="00164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464A5"/>
    <w:multiLevelType w:val="multilevel"/>
    <w:tmpl w:val="BF40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B0287"/>
    <w:multiLevelType w:val="multilevel"/>
    <w:tmpl w:val="4B3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477F"/>
    <w:multiLevelType w:val="multilevel"/>
    <w:tmpl w:val="234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9DA"/>
    <w:multiLevelType w:val="multilevel"/>
    <w:tmpl w:val="D11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04BDE"/>
    <w:multiLevelType w:val="multilevel"/>
    <w:tmpl w:val="73D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7765C"/>
    <w:multiLevelType w:val="multilevel"/>
    <w:tmpl w:val="0AC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B1490"/>
    <w:multiLevelType w:val="multilevel"/>
    <w:tmpl w:val="261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C63F6"/>
    <w:multiLevelType w:val="multilevel"/>
    <w:tmpl w:val="206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155ED"/>
    <w:multiLevelType w:val="multilevel"/>
    <w:tmpl w:val="617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05C0C"/>
    <w:multiLevelType w:val="multilevel"/>
    <w:tmpl w:val="127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86890"/>
    <w:multiLevelType w:val="multilevel"/>
    <w:tmpl w:val="5C4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13BDC"/>
    <w:multiLevelType w:val="multilevel"/>
    <w:tmpl w:val="46D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246E3"/>
    <w:multiLevelType w:val="hybridMultilevel"/>
    <w:tmpl w:val="A1106B5E"/>
    <w:lvl w:ilvl="0" w:tplc="5040FF2A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2C3189"/>
    <w:multiLevelType w:val="multilevel"/>
    <w:tmpl w:val="4746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91B"/>
    <w:rsid w:val="00032A88"/>
    <w:rsid w:val="00043E69"/>
    <w:rsid w:val="000660AE"/>
    <w:rsid w:val="00066700"/>
    <w:rsid w:val="00083C4F"/>
    <w:rsid w:val="000B2893"/>
    <w:rsid w:val="000B5A67"/>
    <w:rsid w:val="000B72B6"/>
    <w:rsid w:val="000F60F2"/>
    <w:rsid w:val="001053F7"/>
    <w:rsid w:val="001057FF"/>
    <w:rsid w:val="001104A1"/>
    <w:rsid w:val="00110757"/>
    <w:rsid w:val="00143363"/>
    <w:rsid w:val="00147129"/>
    <w:rsid w:val="001642AC"/>
    <w:rsid w:val="00171C6B"/>
    <w:rsid w:val="0017759B"/>
    <w:rsid w:val="001A34D3"/>
    <w:rsid w:val="001B2313"/>
    <w:rsid w:val="001B43DD"/>
    <w:rsid w:val="001B6623"/>
    <w:rsid w:val="001C1BA6"/>
    <w:rsid w:val="001C3253"/>
    <w:rsid w:val="001C364D"/>
    <w:rsid w:val="001C491B"/>
    <w:rsid w:val="001D3A5E"/>
    <w:rsid w:val="001E1197"/>
    <w:rsid w:val="001F0864"/>
    <w:rsid w:val="00211021"/>
    <w:rsid w:val="00231FA6"/>
    <w:rsid w:val="00241C91"/>
    <w:rsid w:val="002436C6"/>
    <w:rsid w:val="00250F47"/>
    <w:rsid w:val="0025313A"/>
    <w:rsid w:val="00254340"/>
    <w:rsid w:val="00255212"/>
    <w:rsid w:val="0026376C"/>
    <w:rsid w:val="00274599"/>
    <w:rsid w:val="00277812"/>
    <w:rsid w:val="002778B2"/>
    <w:rsid w:val="002A1455"/>
    <w:rsid w:val="002B3D04"/>
    <w:rsid w:val="002D2A2E"/>
    <w:rsid w:val="002E760D"/>
    <w:rsid w:val="00316ED3"/>
    <w:rsid w:val="003235F8"/>
    <w:rsid w:val="0033040A"/>
    <w:rsid w:val="00345F60"/>
    <w:rsid w:val="00355FCC"/>
    <w:rsid w:val="00356550"/>
    <w:rsid w:val="00357418"/>
    <w:rsid w:val="0036623D"/>
    <w:rsid w:val="0037223E"/>
    <w:rsid w:val="0038165A"/>
    <w:rsid w:val="00381E09"/>
    <w:rsid w:val="00385833"/>
    <w:rsid w:val="00397398"/>
    <w:rsid w:val="003A599B"/>
    <w:rsid w:val="003B1106"/>
    <w:rsid w:val="003C24AF"/>
    <w:rsid w:val="003C24FA"/>
    <w:rsid w:val="003C7D1E"/>
    <w:rsid w:val="003F0305"/>
    <w:rsid w:val="003F4500"/>
    <w:rsid w:val="004202E1"/>
    <w:rsid w:val="0042547F"/>
    <w:rsid w:val="00431881"/>
    <w:rsid w:val="00453DA2"/>
    <w:rsid w:val="00462118"/>
    <w:rsid w:val="004827EF"/>
    <w:rsid w:val="00484B15"/>
    <w:rsid w:val="004953EE"/>
    <w:rsid w:val="004958E5"/>
    <w:rsid w:val="00495DE7"/>
    <w:rsid w:val="00496876"/>
    <w:rsid w:val="00496F5E"/>
    <w:rsid w:val="004D0CBE"/>
    <w:rsid w:val="004E2115"/>
    <w:rsid w:val="004E5AA5"/>
    <w:rsid w:val="004F1B73"/>
    <w:rsid w:val="00514124"/>
    <w:rsid w:val="005162BD"/>
    <w:rsid w:val="00532E11"/>
    <w:rsid w:val="005332C6"/>
    <w:rsid w:val="00533587"/>
    <w:rsid w:val="00533B68"/>
    <w:rsid w:val="005431BC"/>
    <w:rsid w:val="00543839"/>
    <w:rsid w:val="00553313"/>
    <w:rsid w:val="00584339"/>
    <w:rsid w:val="00584CE0"/>
    <w:rsid w:val="005855F1"/>
    <w:rsid w:val="005A6A38"/>
    <w:rsid w:val="005C6545"/>
    <w:rsid w:val="005C7A5A"/>
    <w:rsid w:val="005C7B6E"/>
    <w:rsid w:val="005D5F5B"/>
    <w:rsid w:val="005D70E1"/>
    <w:rsid w:val="005E496C"/>
    <w:rsid w:val="005E7F6E"/>
    <w:rsid w:val="005F015C"/>
    <w:rsid w:val="00607055"/>
    <w:rsid w:val="00616854"/>
    <w:rsid w:val="00621D1B"/>
    <w:rsid w:val="006306AD"/>
    <w:rsid w:val="0063426B"/>
    <w:rsid w:val="0064460D"/>
    <w:rsid w:val="006448E2"/>
    <w:rsid w:val="006659BB"/>
    <w:rsid w:val="0068383D"/>
    <w:rsid w:val="00693292"/>
    <w:rsid w:val="006971F0"/>
    <w:rsid w:val="006A0921"/>
    <w:rsid w:val="006A0D63"/>
    <w:rsid w:val="006A3C96"/>
    <w:rsid w:val="006A7546"/>
    <w:rsid w:val="006C7814"/>
    <w:rsid w:val="006C7F69"/>
    <w:rsid w:val="006D055A"/>
    <w:rsid w:val="006D6682"/>
    <w:rsid w:val="006E4159"/>
    <w:rsid w:val="006E6ECE"/>
    <w:rsid w:val="006F58E4"/>
    <w:rsid w:val="00711BBE"/>
    <w:rsid w:val="00722520"/>
    <w:rsid w:val="00724174"/>
    <w:rsid w:val="00753AB9"/>
    <w:rsid w:val="0076290D"/>
    <w:rsid w:val="007719E7"/>
    <w:rsid w:val="007A26D6"/>
    <w:rsid w:val="007B1371"/>
    <w:rsid w:val="007C7B64"/>
    <w:rsid w:val="007D1BB7"/>
    <w:rsid w:val="007E2C67"/>
    <w:rsid w:val="007E3A2E"/>
    <w:rsid w:val="007E3C97"/>
    <w:rsid w:val="007E5D85"/>
    <w:rsid w:val="008124C3"/>
    <w:rsid w:val="00831C79"/>
    <w:rsid w:val="0083758A"/>
    <w:rsid w:val="008440D2"/>
    <w:rsid w:val="00871D17"/>
    <w:rsid w:val="00875578"/>
    <w:rsid w:val="00875D50"/>
    <w:rsid w:val="00891A43"/>
    <w:rsid w:val="008A045C"/>
    <w:rsid w:val="008B28C1"/>
    <w:rsid w:val="008B521E"/>
    <w:rsid w:val="008B645C"/>
    <w:rsid w:val="008D00A3"/>
    <w:rsid w:val="008D1F84"/>
    <w:rsid w:val="008D666C"/>
    <w:rsid w:val="008E26B2"/>
    <w:rsid w:val="008E2F41"/>
    <w:rsid w:val="008E50DC"/>
    <w:rsid w:val="008E6B57"/>
    <w:rsid w:val="008E78E2"/>
    <w:rsid w:val="008F13CC"/>
    <w:rsid w:val="00903A6D"/>
    <w:rsid w:val="00920A47"/>
    <w:rsid w:val="0093270D"/>
    <w:rsid w:val="00946CF2"/>
    <w:rsid w:val="00951821"/>
    <w:rsid w:val="0098642F"/>
    <w:rsid w:val="0099250C"/>
    <w:rsid w:val="009B75C7"/>
    <w:rsid w:val="009C0D2F"/>
    <w:rsid w:val="009D7306"/>
    <w:rsid w:val="009E3660"/>
    <w:rsid w:val="009E57E3"/>
    <w:rsid w:val="009E69BE"/>
    <w:rsid w:val="009F58A0"/>
    <w:rsid w:val="00A02E91"/>
    <w:rsid w:val="00A1722A"/>
    <w:rsid w:val="00A2093B"/>
    <w:rsid w:val="00A27364"/>
    <w:rsid w:val="00A32A9A"/>
    <w:rsid w:val="00A400AE"/>
    <w:rsid w:val="00A41222"/>
    <w:rsid w:val="00A431FC"/>
    <w:rsid w:val="00A70D37"/>
    <w:rsid w:val="00A70F04"/>
    <w:rsid w:val="00A846B5"/>
    <w:rsid w:val="00A92B9E"/>
    <w:rsid w:val="00A950D2"/>
    <w:rsid w:val="00A95979"/>
    <w:rsid w:val="00AA4F75"/>
    <w:rsid w:val="00AA6A5A"/>
    <w:rsid w:val="00AB3836"/>
    <w:rsid w:val="00AB6A39"/>
    <w:rsid w:val="00AC18C7"/>
    <w:rsid w:val="00AC4F3F"/>
    <w:rsid w:val="00AD17CF"/>
    <w:rsid w:val="00AE777E"/>
    <w:rsid w:val="00B1646F"/>
    <w:rsid w:val="00B209B3"/>
    <w:rsid w:val="00B416E5"/>
    <w:rsid w:val="00B42AF9"/>
    <w:rsid w:val="00B56FC4"/>
    <w:rsid w:val="00B6173A"/>
    <w:rsid w:val="00B6680C"/>
    <w:rsid w:val="00B94033"/>
    <w:rsid w:val="00BA47A8"/>
    <w:rsid w:val="00BB4DF0"/>
    <w:rsid w:val="00C2468A"/>
    <w:rsid w:val="00C25F09"/>
    <w:rsid w:val="00C32C23"/>
    <w:rsid w:val="00C41602"/>
    <w:rsid w:val="00C44FBE"/>
    <w:rsid w:val="00C61CB5"/>
    <w:rsid w:val="00C62D48"/>
    <w:rsid w:val="00C67E04"/>
    <w:rsid w:val="00C93FEA"/>
    <w:rsid w:val="00C9426E"/>
    <w:rsid w:val="00CA510E"/>
    <w:rsid w:val="00CB3684"/>
    <w:rsid w:val="00CB7F66"/>
    <w:rsid w:val="00CF2219"/>
    <w:rsid w:val="00D05DCB"/>
    <w:rsid w:val="00D1423C"/>
    <w:rsid w:val="00D15223"/>
    <w:rsid w:val="00D17B2C"/>
    <w:rsid w:val="00D21351"/>
    <w:rsid w:val="00D22F20"/>
    <w:rsid w:val="00D25764"/>
    <w:rsid w:val="00D27DE1"/>
    <w:rsid w:val="00D40E78"/>
    <w:rsid w:val="00D43724"/>
    <w:rsid w:val="00D544F7"/>
    <w:rsid w:val="00D548FA"/>
    <w:rsid w:val="00D724E4"/>
    <w:rsid w:val="00D7515C"/>
    <w:rsid w:val="00D816B1"/>
    <w:rsid w:val="00D85703"/>
    <w:rsid w:val="00D87041"/>
    <w:rsid w:val="00D90F92"/>
    <w:rsid w:val="00D953A9"/>
    <w:rsid w:val="00D95EB5"/>
    <w:rsid w:val="00DA0D22"/>
    <w:rsid w:val="00DB54BA"/>
    <w:rsid w:val="00DD1A77"/>
    <w:rsid w:val="00DD34EE"/>
    <w:rsid w:val="00DF523E"/>
    <w:rsid w:val="00E0614D"/>
    <w:rsid w:val="00E2546C"/>
    <w:rsid w:val="00E27464"/>
    <w:rsid w:val="00E33A54"/>
    <w:rsid w:val="00E3567E"/>
    <w:rsid w:val="00E42723"/>
    <w:rsid w:val="00E459CC"/>
    <w:rsid w:val="00E718DF"/>
    <w:rsid w:val="00E75B86"/>
    <w:rsid w:val="00E933AB"/>
    <w:rsid w:val="00E973C7"/>
    <w:rsid w:val="00EB0CF8"/>
    <w:rsid w:val="00EB3A93"/>
    <w:rsid w:val="00EB3AAD"/>
    <w:rsid w:val="00EB42AD"/>
    <w:rsid w:val="00ED4B1B"/>
    <w:rsid w:val="00EE407B"/>
    <w:rsid w:val="00EF04D2"/>
    <w:rsid w:val="00EF239C"/>
    <w:rsid w:val="00EF392D"/>
    <w:rsid w:val="00EF43DF"/>
    <w:rsid w:val="00F13B85"/>
    <w:rsid w:val="00F271C4"/>
    <w:rsid w:val="00F34BF4"/>
    <w:rsid w:val="00F5180C"/>
    <w:rsid w:val="00F56B7B"/>
    <w:rsid w:val="00F6475B"/>
    <w:rsid w:val="00F74BA8"/>
    <w:rsid w:val="00F935FE"/>
    <w:rsid w:val="00F96940"/>
    <w:rsid w:val="00FA60A2"/>
    <w:rsid w:val="00FA6936"/>
    <w:rsid w:val="00FA7868"/>
    <w:rsid w:val="00FB0359"/>
    <w:rsid w:val="00FC0992"/>
    <w:rsid w:val="00FE3E4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7E04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7E04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67E04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0"/>
    <w:link w:val="40"/>
    <w:qFormat/>
    <w:rsid w:val="0026376C"/>
    <w:pPr>
      <w:keepNext/>
      <w:tabs>
        <w:tab w:val="num" w:pos="0"/>
      </w:tabs>
      <w:spacing w:before="240" w:after="60"/>
      <w:ind w:left="1404" w:hanging="864"/>
      <w:outlineLvl w:val="3"/>
    </w:pPr>
    <w:rPr>
      <w:rFonts w:cs="Calibri"/>
      <w:b/>
      <w:bCs/>
      <w:kern w:val="1"/>
      <w:sz w:val="28"/>
      <w:szCs w:val="28"/>
    </w:rPr>
  </w:style>
  <w:style w:type="paragraph" w:styleId="5">
    <w:name w:val="heading 5"/>
    <w:basedOn w:val="a"/>
    <w:next w:val="a"/>
    <w:qFormat/>
    <w:rsid w:val="00C67E04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26376C"/>
    <w:pPr>
      <w:tabs>
        <w:tab w:val="num" w:pos="0"/>
      </w:tabs>
      <w:spacing w:before="240" w:after="60"/>
      <w:ind w:left="1692" w:hanging="1152"/>
      <w:outlineLvl w:val="5"/>
    </w:pPr>
    <w:rPr>
      <w:rFonts w:cs="Calibri"/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E04"/>
  </w:style>
  <w:style w:type="character" w:customStyle="1" w:styleId="WW-Absatz-Standardschriftart">
    <w:name w:val="WW-Absatz-Standardschriftart"/>
    <w:rsid w:val="00C67E04"/>
  </w:style>
  <w:style w:type="character" w:customStyle="1" w:styleId="WW-Absatz-Standardschriftart1">
    <w:name w:val="WW-Absatz-Standardschriftart1"/>
    <w:rsid w:val="00C67E04"/>
  </w:style>
  <w:style w:type="character" w:customStyle="1" w:styleId="WW-Absatz-Standardschriftart11">
    <w:name w:val="WW-Absatz-Standardschriftart11"/>
    <w:rsid w:val="00C67E04"/>
  </w:style>
  <w:style w:type="character" w:customStyle="1" w:styleId="WW-Absatz-Standardschriftart111">
    <w:name w:val="WW-Absatz-Standardschriftart111"/>
    <w:rsid w:val="00C67E04"/>
  </w:style>
  <w:style w:type="character" w:customStyle="1" w:styleId="WW-Absatz-Standardschriftart1111">
    <w:name w:val="WW-Absatz-Standardschriftart1111"/>
    <w:rsid w:val="00C67E04"/>
  </w:style>
  <w:style w:type="character" w:customStyle="1" w:styleId="WW-Absatz-Standardschriftart11111">
    <w:name w:val="WW-Absatz-Standardschriftart11111"/>
    <w:rsid w:val="00C67E04"/>
  </w:style>
  <w:style w:type="character" w:customStyle="1" w:styleId="WW-Absatz-Standardschriftart111111">
    <w:name w:val="WW-Absatz-Standardschriftart111111"/>
    <w:rsid w:val="00C67E04"/>
  </w:style>
  <w:style w:type="character" w:customStyle="1" w:styleId="WW-Absatz-Standardschriftart1111111">
    <w:name w:val="WW-Absatz-Standardschriftart1111111"/>
    <w:rsid w:val="00C67E04"/>
  </w:style>
  <w:style w:type="character" w:customStyle="1" w:styleId="WW8Num5z0">
    <w:name w:val="WW8Num5z0"/>
    <w:rsid w:val="00C67E04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67E0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67E04"/>
    <w:rPr>
      <w:rFonts w:ascii="Courier New" w:hAnsi="Courier New"/>
    </w:rPr>
  </w:style>
  <w:style w:type="character" w:customStyle="1" w:styleId="WW8Num6z2">
    <w:name w:val="WW8Num6z2"/>
    <w:rsid w:val="00C67E04"/>
    <w:rPr>
      <w:rFonts w:ascii="Wingdings" w:hAnsi="Wingdings"/>
    </w:rPr>
  </w:style>
  <w:style w:type="character" w:customStyle="1" w:styleId="WW8Num6z3">
    <w:name w:val="WW8Num6z3"/>
    <w:rsid w:val="00C67E04"/>
    <w:rPr>
      <w:rFonts w:ascii="Symbol" w:hAnsi="Symbol"/>
    </w:rPr>
  </w:style>
  <w:style w:type="character" w:customStyle="1" w:styleId="WW8Num7z0">
    <w:name w:val="WW8Num7z0"/>
    <w:rsid w:val="00C67E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67E04"/>
    <w:rPr>
      <w:rFonts w:ascii="Courier New" w:hAnsi="Courier New"/>
    </w:rPr>
  </w:style>
  <w:style w:type="character" w:customStyle="1" w:styleId="WW8Num7z2">
    <w:name w:val="WW8Num7z2"/>
    <w:rsid w:val="00C67E04"/>
    <w:rPr>
      <w:rFonts w:ascii="Wingdings" w:hAnsi="Wingdings"/>
    </w:rPr>
  </w:style>
  <w:style w:type="character" w:customStyle="1" w:styleId="WW8Num7z3">
    <w:name w:val="WW8Num7z3"/>
    <w:rsid w:val="00C67E04"/>
    <w:rPr>
      <w:rFonts w:ascii="Symbol" w:hAnsi="Symbol"/>
    </w:rPr>
  </w:style>
  <w:style w:type="character" w:customStyle="1" w:styleId="WW8Num8z0">
    <w:name w:val="WW8Num8z0"/>
    <w:rsid w:val="00C67E0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67E04"/>
    <w:rPr>
      <w:rFonts w:ascii="Courier New" w:hAnsi="Courier New"/>
    </w:rPr>
  </w:style>
  <w:style w:type="character" w:customStyle="1" w:styleId="WW8Num8z2">
    <w:name w:val="WW8Num8z2"/>
    <w:rsid w:val="00C67E04"/>
    <w:rPr>
      <w:rFonts w:ascii="Wingdings" w:hAnsi="Wingdings"/>
    </w:rPr>
  </w:style>
  <w:style w:type="character" w:customStyle="1" w:styleId="WW8Num8z3">
    <w:name w:val="WW8Num8z3"/>
    <w:rsid w:val="00C67E04"/>
    <w:rPr>
      <w:rFonts w:ascii="Symbol" w:hAnsi="Symbol"/>
    </w:rPr>
  </w:style>
  <w:style w:type="character" w:customStyle="1" w:styleId="10">
    <w:name w:val="Основной шрифт абзаца1"/>
    <w:rsid w:val="00C67E04"/>
  </w:style>
  <w:style w:type="character" w:styleId="a4">
    <w:name w:val="page number"/>
    <w:basedOn w:val="10"/>
    <w:rsid w:val="00C67E04"/>
  </w:style>
  <w:style w:type="character" w:styleId="a5">
    <w:name w:val="Strong"/>
    <w:uiPriority w:val="22"/>
    <w:qFormat/>
    <w:rsid w:val="00C67E04"/>
    <w:rPr>
      <w:b/>
      <w:bCs/>
    </w:rPr>
  </w:style>
  <w:style w:type="paragraph" w:customStyle="1" w:styleId="a6">
    <w:name w:val="Заголовок"/>
    <w:basedOn w:val="a"/>
    <w:next w:val="a0"/>
    <w:rsid w:val="00C67E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67E04"/>
    <w:pPr>
      <w:jc w:val="both"/>
    </w:pPr>
  </w:style>
  <w:style w:type="paragraph" w:styleId="a7">
    <w:name w:val="List"/>
    <w:basedOn w:val="a0"/>
    <w:rsid w:val="00C67E04"/>
    <w:rPr>
      <w:rFonts w:cs="Mangal"/>
    </w:rPr>
  </w:style>
  <w:style w:type="paragraph" w:customStyle="1" w:styleId="11">
    <w:name w:val="Название1"/>
    <w:basedOn w:val="a"/>
    <w:rsid w:val="00C67E0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67E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67E04"/>
    <w:rPr>
      <w:b/>
      <w:sz w:val="32"/>
      <w:szCs w:val="20"/>
    </w:rPr>
  </w:style>
  <w:style w:type="paragraph" w:styleId="a8">
    <w:name w:val="Body Text Indent"/>
    <w:basedOn w:val="a"/>
    <w:rsid w:val="00C67E04"/>
    <w:pPr>
      <w:ind w:right="355" w:firstLine="708"/>
      <w:jc w:val="both"/>
    </w:pPr>
    <w:rPr>
      <w:sz w:val="28"/>
    </w:rPr>
  </w:style>
  <w:style w:type="paragraph" w:styleId="a9">
    <w:name w:val="header"/>
    <w:basedOn w:val="a"/>
    <w:link w:val="aa"/>
    <w:rsid w:val="00C67E04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67E04"/>
    <w:pPr>
      <w:ind w:right="175" w:firstLine="708"/>
      <w:jc w:val="both"/>
    </w:pPr>
    <w:rPr>
      <w:sz w:val="28"/>
    </w:rPr>
  </w:style>
  <w:style w:type="paragraph" w:styleId="ab">
    <w:name w:val="footer"/>
    <w:basedOn w:val="a"/>
    <w:rsid w:val="00C67E04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rsid w:val="00C67E04"/>
    <w:pPr>
      <w:jc w:val="center"/>
    </w:pPr>
    <w:rPr>
      <w:b/>
      <w:bCs/>
    </w:rPr>
  </w:style>
  <w:style w:type="paragraph" w:styleId="ad">
    <w:name w:val="Subtitle"/>
    <w:basedOn w:val="a6"/>
    <w:next w:val="a0"/>
    <w:qFormat/>
    <w:rsid w:val="00C67E0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67E04"/>
    <w:rPr>
      <w:sz w:val="28"/>
    </w:rPr>
  </w:style>
  <w:style w:type="paragraph" w:styleId="ae">
    <w:name w:val="Balloon Text"/>
    <w:basedOn w:val="a"/>
    <w:rsid w:val="00C67E04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0"/>
    <w:rsid w:val="00C67E04"/>
  </w:style>
  <w:style w:type="paragraph" w:customStyle="1" w:styleId="af0">
    <w:name w:val="Содержимое таблицы"/>
    <w:basedOn w:val="a"/>
    <w:rsid w:val="00C67E04"/>
    <w:pPr>
      <w:suppressLineNumbers/>
    </w:pPr>
  </w:style>
  <w:style w:type="paragraph" w:customStyle="1" w:styleId="af1">
    <w:name w:val="Заголовок таблицы"/>
    <w:basedOn w:val="af0"/>
    <w:rsid w:val="00C67E04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D90F92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basedOn w:val="a"/>
    <w:rsid w:val="00D7515C"/>
    <w:pPr>
      <w:jc w:val="both"/>
    </w:pPr>
    <w:rPr>
      <w:rFonts w:cs="Calibri"/>
      <w:kern w:val="2"/>
    </w:rPr>
  </w:style>
  <w:style w:type="character" w:styleId="af3">
    <w:name w:val="Hyperlink"/>
    <w:basedOn w:val="a1"/>
    <w:uiPriority w:val="99"/>
    <w:unhideWhenUsed/>
    <w:rsid w:val="00032A88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A1455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3B1106"/>
    <w:pPr>
      <w:widowControl w:val="0"/>
      <w:ind w:left="720" w:firstLine="709"/>
      <w:contextualSpacing/>
      <w:jc w:val="both"/>
    </w:pPr>
    <w:rPr>
      <w:sz w:val="28"/>
    </w:rPr>
  </w:style>
  <w:style w:type="paragraph" w:styleId="20">
    <w:name w:val="Body Text Indent 2"/>
    <w:basedOn w:val="a"/>
    <w:link w:val="22"/>
    <w:uiPriority w:val="99"/>
    <w:unhideWhenUsed/>
    <w:rsid w:val="00543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rsid w:val="00543839"/>
    <w:rPr>
      <w:sz w:val="24"/>
      <w:szCs w:val="24"/>
      <w:lang w:eastAsia="ar-SA"/>
    </w:rPr>
  </w:style>
  <w:style w:type="paragraph" w:customStyle="1" w:styleId="ConsPlusNormal">
    <w:name w:val="ConsPlusNormal"/>
    <w:rsid w:val="0054383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26376C"/>
    <w:rPr>
      <w:rFonts w:cs="Calibri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26376C"/>
    <w:rPr>
      <w:rFonts w:cs="Calibri"/>
      <w:b/>
      <w:bCs/>
      <w:kern w:val="1"/>
      <w:sz w:val="22"/>
      <w:szCs w:val="22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26376C"/>
    <w:rPr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26376C"/>
    <w:pPr>
      <w:suppressAutoHyphens w:val="0"/>
      <w:spacing w:after="120"/>
    </w:pPr>
    <w:rPr>
      <w:kern w:val="1"/>
      <w:sz w:val="16"/>
      <w:szCs w:val="16"/>
    </w:rPr>
  </w:style>
  <w:style w:type="character" w:customStyle="1" w:styleId="30">
    <w:name w:val="Заголовок 3 Знак"/>
    <w:basedOn w:val="a1"/>
    <w:link w:val="3"/>
    <w:rsid w:val="00D22F20"/>
    <w:rPr>
      <w:rFonts w:eastAsia="Arial Unicode MS"/>
      <w:b/>
      <w:sz w:val="28"/>
      <w:u w:val="single"/>
      <w:lang w:eastAsia="ar-SA"/>
    </w:rPr>
  </w:style>
  <w:style w:type="paragraph" w:styleId="31">
    <w:name w:val="Body Text 3"/>
    <w:basedOn w:val="a"/>
    <w:link w:val="33"/>
    <w:rsid w:val="00D22F2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1"/>
    <w:rsid w:val="00D22F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5689-9603-41CF-8AB6-1BD29C1A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105-OIO-3</cp:lastModifiedBy>
  <cp:revision>40</cp:revision>
  <cp:lastPrinted>2020-04-23T13:35:00Z</cp:lastPrinted>
  <dcterms:created xsi:type="dcterms:W3CDTF">2023-04-17T13:06:00Z</dcterms:created>
  <dcterms:modified xsi:type="dcterms:W3CDTF">2024-04-22T07:01:00Z</dcterms:modified>
</cp:coreProperties>
</file>