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center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Деятельность прокуратуры Дорогобужского района в сфере</w:t>
        <w:br/>
        <w:t>исполнения законодательства о закупках товаров, работ, услуг для</w:t>
        <w:br/>
        <w:t>обеспечения государственных и муниципальных нужд, а также</w:t>
        <w:br/>
        <w:t>отдельными видами юридических лиц.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истекшем периоде 2023 года прокуратурой района в ходе надзора в сфере исполнения законодательства о закупках товаров, работ, услуг для обеспечения государственных и муниципальных нужд, а также отдельными видами юридических лиц выявлено 29 нарушений требований федерального законодательства, для устранения которых внесено 20 представлений, принесено 2 протеста, все акты прокурорского реагирования рассмотрены и удовлетворены, к дисциплинарной ответственности привлечено 14 должностных лиц.</w:t>
      </w:r>
    </w:p>
    <w:sectPr>
      <w:footnotePr>
        <w:pos w:val="pageBottom"/>
        <w:numFmt w:val="decimal"/>
        <w:numRestart w:val="continuous"/>
      </w:footnotePr>
      <w:pgSz w:w="11900" w:h="16840"/>
      <w:pgMar w:top="1410" w:left="1680" w:right="755" w:bottom="1410" w:header="982" w:footer="98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