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3C" w:rsidRPr="004A563C" w:rsidRDefault="004A563C" w:rsidP="004A563C">
      <w:pPr>
        <w:pStyle w:val="1"/>
        <w:shd w:val="clear" w:color="auto" w:fill="FFFFFF"/>
        <w:spacing w:before="0" w:beforeAutospacing="0" w:after="144" w:afterAutospacing="0" w:line="242" w:lineRule="atLeast"/>
        <w:rPr>
          <w:rFonts w:ascii="Arial" w:hAnsi="Arial" w:cs="Arial"/>
          <w:color w:val="333333"/>
          <w:sz w:val="24"/>
          <w:szCs w:val="24"/>
        </w:rPr>
      </w:pPr>
      <w:r>
        <w:rPr>
          <w:rFonts w:ascii="Arial" w:hAnsi="Arial" w:cs="Arial"/>
          <w:color w:val="333333"/>
          <w:sz w:val="24"/>
          <w:szCs w:val="24"/>
        </w:rPr>
        <w:t>Постановление Правительства РФ от 30.04.2014 N 403 (ред. от 24.01.2017) "Об исчерпывающем перечне процедур в сфере жилищного строительства" (вместе с "Правилами внесения изменений в исчерпывающий перечень процедур в сфере жилищного строительства", "Правилами ведения реестра описаний процедур, указанных в исчерпывающем перечне процедур в сфере жилищного строительства")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Процедуры, связанные с осуществлением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строительства, реконструкции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 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dst100081"/>
      <w:bookmarkEnd w:id="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59. Предоставление разрешения на строительство.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dst100082"/>
      <w:bookmarkEnd w:id="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60. Продление срока действия разрешения на строительство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" w:name="dst100083"/>
      <w:bookmarkEnd w:id="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61. Внесение изменений в разрешение на строительство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" w:name="dst100084"/>
      <w:bookmarkEnd w:id="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62. Передача материалов для размещения в информационной системе обеспечения градостроительной деятельности.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" w:name="dst100085"/>
      <w:bookmarkEnd w:id="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63. Представление проектной декларации в орган, осуществляющий государственную регистрацию прав на недвижимое имущество и сделок с ним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" w:name="dst100086"/>
      <w:bookmarkEnd w:id="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64. Представление проектной декларации в контролирующий орган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" w:name="dst100087"/>
      <w:bookmarkEnd w:id="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65. Проведение проверок соблюдения лицами, привлекающими денежные средства граждан для строительства, обязательных требований законодательства об участии в долевом строительстве многоквартирных домов и (или) иных объектов недвижимости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7" w:name="dst100088"/>
      <w:bookmarkEnd w:id="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66. Заключение договора поручительства за исполнение обязательств застройщика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8" w:name="dst100089"/>
      <w:bookmarkEnd w:id="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67. Заключение договора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9" w:name="dst100090"/>
      <w:bookmarkEnd w:id="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68. Государственная регистрация договора участия в долевом строительстве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0" w:name="dst100091"/>
      <w:bookmarkEnd w:id="1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69. Заключение договора об осуществлении временного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1" w:name="dst100092"/>
      <w:bookmarkEnd w:id="1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70. Заключение договора горячего водоснабжения строящегося (не введенного в эксплуатацию) объекта на период строительства (применяется в </w:t>
      </w: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2" w:name="dst100093"/>
      <w:bookmarkEnd w:id="1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71. Заключение договора холодного водоснабжения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3" w:name="dst100094"/>
      <w:bookmarkEnd w:id="1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72. Заключение договора водоотведения в отношении строящегося объекта на период строительства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4" w:name="dst100095"/>
      <w:bookmarkEnd w:id="1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73. Направление извещения о начале строительства, реконструкции объекта капитального строительства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5" w:name="dst8"/>
      <w:bookmarkEnd w:id="1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73(1). Направление извещения о возникновении аварийной ситуации на объекте капитального строительства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73(1) введен </w:t>
      </w:r>
      <w:hyperlink r:id="rId6" w:anchor="dst100022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04.02.2015 N 94)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6" w:name="dst100096"/>
      <w:bookmarkEnd w:id="1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74. Направление извещения об обнаружении объекта, обладающего признаками объекта культурного наследия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7" w:name="dst100097"/>
      <w:bookmarkEnd w:id="1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75. Направление извещения о сроках завершения работ, которые подлежат проверке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8" w:name="dst100098"/>
      <w:bookmarkEnd w:id="1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76. Проведение проверок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9" w:name="dst100099"/>
      <w:bookmarkEnd w:id="1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77. Предоставление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0" w:name="dst100101"/>
      <w:bookmarkEnd w:id="2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78. Направление извещения об устранении нарушений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1" w:name="dst100102"/>
      <w:bookmarkEnd w:id="2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79. Предоставление акта итоговой проверки государственного строительного надзора (применяется в случаях, предусмотренных нормативными правовыми актами Российской Федерации).</w:t>
      </w: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</w:pP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lastRenderedPageBreak/>
        <w:t>Процедуры, связанные с предоставлением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 xml:space="preserve">разрешения на ввод объекта в эксплуатацию, </w:t>
      </w:r>
      <w:proofErr w:type="gramStart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государственной</w:t>
      </w:r>
      <w:proofErr w:type="gramEnd"/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регистрацией прав на построенный объект, заключением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 xml:space="preserve">договоров </w:t>
      </w:r>
      <w:proofErr w:type="spellStart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энерго</w:t>
      </w:r>
      <w:proofErr w:type="spellEnd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-, тепл</w:t>
      </w:r>
      <w:proofErr w:type="gramStart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о-</w:t>
      </w:r>
      <w:proofErr w:type="gramEnd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 xml:space="preserve">, </w:t>
      </w:r>
      <w:proofErr w:type="spellStart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водо</w:t>
      </w:r>
      <w:proofErr w:type="spellEnd"/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-, газоснабжения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и водоотведения</w:t>
      </w:r>
    </w:p>
    <w:p w:rsidR="004A563C" w:rsidRPr="004A563C" w:rsidRDefault="004A563C" w:rsidP="004A563C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b/>
          <w:bCs/>
          <w:color w:val="333333"/>
          <w:kern w:val="36"/>
          <w:sz w:val="24"/>
          <w:lang w:eastAsia="ru-RU"/>
        </w:rPr>
        <w:t> 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2" w:name="dst100104"/>
      <w:bookmarkEnd w:id="2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80. Предоставление 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акта допуска прибора учета электрической энергии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эксплуатацию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3" w:name="dst100105"/>
      <w:bookmarkEnd w:id="2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81. Подписание акта о выполнении технических условий для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4" w:name="dst100106"/>
      <w:bookmarkEnd w:id="2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82. Подписание акта осмотра (обследования) электроустановки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5" w:name="dst100107"/>
      <w:bookmarkEnd w:id="2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83. Уведомление о проведении сетевой организацией осмотра (обследования) электроустановок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6" w:name="dst100108"/>
      <w:bookmarkEnd w:id="2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84. Предоставление разрешения органа федерального государственного энергетического надзора на допуск в эксплуатацию </w:t>
      </w:r>
      <w:proofErr w:type="spell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энергопринимающих</w:t>
      </w:r>
      <w:proofErr w:type="spell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устройств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7" w:name="dst100109"/>
      <w:bookmarkEnd w:id="2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85. Подписание акта разграничения балансовой принадлежности электрических сетей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8" w:name="dst100110"/>
      <w:bookmarkEnd w:id="2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86. Подписание акта разграничения эксплуатационной ответственности сторон в отношении электрических сетей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29" w:name="dst100111"/>
      <w:bookmarkEnd w:id="2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87. Подписание акта технологического присоединения к электрическим сетям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0" w:name="dst100112"/>
      <w:bookmarkEnd w:id="3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88. 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договора энергоснабжения (купли-продажи (поставки) электрической энергии (мощности) и договора об оказании услуг по передаче электрической энергии (применяется в случаях, предусмотренных нормативными правовыми актами Российской Федерации).</w:t>
      </w:r>
      <w:proofErr w:type="gramEnd"/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1" w:name="dst100113"/>
      <w:bookmarkEnd w:id="3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89. Подписание акта ввода в эксплуатацию узла учета тепловой энергии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2" w:name="dst100114"/>
      <w:bookmarkEnd w:id="3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90. Подписание акта о готовности внутриплощадочных и внутридомовых сетей и оборудования подключаемого объекта к подаче тепловой энергии и теплоносителя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3" w:name="dst100115"/>
      <w:bookmarkEnd w:id="3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91. Подписание акта о разграничении балансовой принадлежности тепловых сетей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4" w:name="dst100116"/>
      <w:bookmarkEnd w:id="3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92. Подписание акта о разграничении эксплуатационной ответственности сторон в отношении тепловых сетей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5" w:name="dst100117"/>
      <w:bookmarkEnd w:id="3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93. Подписание акта о подключении объекта капитального строительства к системе теплоснабжения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6" w:name="dst100118"/>
      <w:bookmarkEnd w:id="3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94. Предоставление разрешения на осуществление подключения к системе теплоснабжения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7" w:name="dst100119"/>
      <w:bookmarkEnd w:id="3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95. Заключение договора теплоснабжения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8" w:name="dst100197"/>
      <w:bookmarkEnd w:id="3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96 - 98. Утратили силу. - </w:t>
      </w:r>
      <w:hyperlink r:id="rId7" w:anchor="dst100016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39" w:name="dst100198"/>
      <w:bookmarkEnd w:id="3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99. Подписание акта разграничения балансовой принадлежности и эксплуатационной ответственности по объектам централизованной системы горячего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8" w:anchor="dst100017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53)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0" w:name="dst100124"/>
      <w:bookmarkEnd w:id="4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100. Подписание акта о подключении (технологическом присоединении) к централизованной системе горячего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1" w:name="dst100125"/>
      <w:bookmarkEnd w:id="4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101. Заключение договора горячего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2" w:name="dst100199"/>
      <w:bookmarkEnd w:id="4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102 - 103. Утратили силу. - </w:t>
      </w:r>
      <w:hyperlink r:id="rId9" w:anchor="dst100018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3" w:name="dst100200"/>
      <w:bookmarkEnd w:id="4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104. Подписание акта разграничения балансовой принадлежности и эксплуатационной ответственности по объектам централизованных систем холодного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0" w:anchor="dst100019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53)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4" w:name="dst100129"/>
      <w:bookmarkEnd w:id="4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105. Подписание акта о подключении (присоединении) к централизованной системе холодного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5" w:name="dst100201"/>
      <w:bookmarkEnd w:id="4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106. Утратил силу. - </w:t>
      </w:r>
      <w:hyperlink r:id="rId11" w:anchor="dst100020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6" w:name="dst100131"/>
      <w:bookmarkEnd w:id="4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107. Заключение договора холодного водоснабжения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7" w:name="dst100202"/>
      <w:bookmarkEnd w:id="4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108 - 109. Утратили силу. - </w:t>
      </w:r>
      <w:hyperlink r:id="rId12" w:anchor="dst100020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8" w:name="dst100203"/>
      <w:bookmarkEnd w:id="4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110. Подписание акта разграничения балансовой принадлежности и эксплуатационной ответственности по объектам централизованных систем водоотведения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13" w:anchor="dst100021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53)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49" w:name="dst100204"/>
      <w:bookmarkEnd w:id="4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111. Подписание акта о подключении (технологическом присоединении) объекта к централизованной системе водоотведения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ред. </w:t>
      </w:r>
      <w:hyperlink r:id="rId14" w:anchor="dst100022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53)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0" w:name="dst100205"/>
      <w:bookmarkEnd w:id="5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112. Заключение договора водоотведения в централизованную систему водоотведения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ред. </w:t>
      </w:r>
      <w:hyperlink r:id="rId15" w:anchor="dst100023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Постановления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53)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1" w:name="dst100206"/>
      <w:bookmarkEnd w:id="5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113 - 115. Утратили силу. - </w:t>
      </w:r>
      <w:hyperlink r:id="rId16" w:anchor="dst100024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24.01.2017 N 53.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</w:t>
      </w:r>
      <w:proofErr w:type="gramEnd"/>
      <w:r w:rsidRPr="004A563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 текст в предыдущей редакции)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2" w:name="dst100140"/>
      <w:bookmarkEnd w:id="5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116. Подписание акта о готовности сетей </w:t>
      </w:r>
      <w:proofErr w:type="spell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газопотребления</w:t>
      </w:r>
      <w:proofErr w:type="spell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газоиспользующего оборудования к подключению (технологическому присоединению)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3" w:name="dst100141"/>
      <w:bookmarkEnd w:id="5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117. Подписание акта разграничения имущественной принадлежности сетей газораспределения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4" w:name="dst100142"/>
      <w:bookmarkEnd w:id="5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118. Подписание акта разграничения эксплуатационной ответственности сторон по объектам сети газораспределения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5" w:name="dst100143"/>
      <w:bookmarkEnd w:id="5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119. Подписание акта о подключении (технологическом присоединении) к сети газораспределения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6" w:name="dst100144"/>
      <w:bookmarkEnd w:id="5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120. Предоставление разрешения на пуск газа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7" w:name="dst100145"/>
      <w:bookmarkEnd w:id="5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121. Предоставление акта обследования соответствия показателей </w:t>
      </w:r>
      <w:proofErr w:type="spell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энергоэффективности</w:t>
      </w:r>
      <w:proofErr w:type="spell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газоиспользующего оборудования паспортным или проектным показателям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8" w:name="dst100146"/>
      <w:bookmarkEnd w:id="58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122. Подписание акта о приемке газового оборудования и средств автоматики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59" w:name="dst9"/>
      <w:bookmarkEnd w:id="59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122(1). Подписание акта комиссии о приемке газоиспользующего оборудования для проведения пусконаладочных работ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122(1) введен </w:t>
      </w:r>
      <w:hyperlink r:id="rId17" w:anchor="dst100024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04.02.2015 N 94)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0" w:name="dst100147"/>
      <w:bookmarkEnd w:id="60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123. Заключение договора о техническом обслуживании и ремонте внутридомового и (или) внутриквартирного газового оборудования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1" w:name="dst100148"/>
      <w:bookmarkEnd w:id="61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124. Заключение договора поставки газа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2" w:name="dst100149"/>
      <w:bookmarkEnd w:id="62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125. Предоставление технического плана здания, сооружения.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3" w:name="dst100150"/>
      <w:bookmarkEnd w:id="63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126. Предоставление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</w:t>
      </w: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 (применяется в случаях, предусмотренных нормативными правовыми актами Российской Федерации).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4" w:name="dst100152"/>
      <w:bookmarkEnd w:id="64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127. Предоставление разрешения на ввод объекта в эксплуатацию.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5" w:name="dst100153"/>
      <w:bookmarkEnd w:id="65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128. Кадастровый учет объекта недвижимости - здания, помещения.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6" w:name="dst100154"/>
      <w:bookmarkEnd w:id="66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129. Государственная регистрация права собственности на объект недвижимого имущества - здание, помещение.</w:t>
      </w:r>
    </w:p>
    <w:p w:rsidR="004A563C" w:rsidRPr="004A563C" w:rsidRDefault="004A563C" w:rsidP="004A563C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67" w:name="dst10"/>
      <w:bookmarkEnd w:id="67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129(1). Присвоение адреса объекту капитального строительства.</w:t>
      </w:r>
    </w:p>
    <w:p w:rsidR="004A563C" w:rsidRPr="004A563C" w:rsidRDefault="004A563C" w:rsidP="004A563C">
      <w:pPr>
        <w:shd w:val="clear" w:color="auto" w:fill="FFFFFF"/>
        <w:spacing w:after="0" w:line="266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</w:t>
      </w:r>
      <w:proofErr w:type="gramStart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End"/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129(1) введен </w:t>
      </w:r>
      <w:hyperlink r:id="rId18" w:anchor="dst100026" w:history="1">
        <w:r w:rsidRPr="004A563C">
          <w:rPr>
            <w:rFonts w:ascii="Arial" w:eastAsia="Times New Roman" w:hAnsi="Arial" w:cs="Arial"/>
            <w:color w:val="666699"/>
            <w:sz w:val="24"/>
            <w:szCs w:val="24"/>
            <w:lang w:eastAsia="ru-RU"/>
          </w:rPr>
          <w:t>Постановлением</w:t>
        </w:r>
      </w:hyperlink>
      <w:r w:rsidRPr="004A563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Правительства РФ от 04.02.2015 N 94)</w:t>
      </w:r>
    </w:p>
    <w:p w:rsidR="008F37E8" w:rsidRDefault="008F37E8"/>
    <w:sectPr w:rsidR="008F37E8" w:rsidSect="008F3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563C" w:rsidRDefault="004A563C" w:rsidP="004A563C">
      <w:pPr>
        <w:spacing w:after="0" w:line="240" w:lineRule="auto"/>
      </w:pPr>
      <w:r>
        <w:separator/>
      </w:r>
    </w:p>
  </w:endnote>
  <w:endnote w:type="continuationSeparator" w:id="0">
    <w:p w:rsidR="004A563C" w:rsidRDefault="004A563C" w:rsidP="004A5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563C" w:rsidRDefault="004A563C" w:rsidP="004A563C">
      <w:pPr>
        <w:spacing w:after="0" w:line="240" w:lineRule="auto"/>
      </w:pPr>
      <w:r>
        <w:separator/>
      </w:r>
    </w:p>
  </w:footnote>
  <w:footnote w:type="continuationSeparator" w:id="0">
    <w:p w:rsidR="004A563C" w:rsidRDefault="004A563C" w:rsidP="004A56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63C"/>
    <w:rsid w:val="004A563C"/>
    <w:rsid w:val="008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7E8"/>
  </w:style>
  <w:style w:type="paragraph" w:styleId="1">
    <w:name w:val="heading 1"/>
    <w:basedOn w:val="a"/>
    <w:link w:val="10"/>
    <w:uiPriority w:val="9"/>
    <w:qFormat/>
    <w:rsid w:val="004A56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6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4A563C"/>
  </w:style>
  <w:style w:type="character" w:styleId="a3">
    <w:name w:val="Hyperlink"/>
    <w:basedOn w:val="a0"/>
    <w:uiPriority w:val="99"/>
    <w:semiHidden/>
    <w:unhideWhenUsed/>
    <w:rsid w:val="004A563C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4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A563C"/>
  </w:style>
  <w:style w:type="paragraph" w:styleId="a6">
    <w:name w:val="footer"/>
    <w:basedOn w:val="a"/>
    <w:link w:val="a7"/>
    <w:uiPriority w:val="99"/>
    <w:semiHidden/>
    <w:unhideWhenUsed/>
    <w:rsid w:val="004A5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A56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3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21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780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3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6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5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3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1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7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26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1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8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8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72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1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3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66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0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94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00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6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0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9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9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7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6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53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0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32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05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13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81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0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1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16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2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54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1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4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9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9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53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7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8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99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2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61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12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3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1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1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89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9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1896/1d99e329ca6468240e7638497ecca8eb136f4007/" TargetMode="External"/><Relationship Id="rId13" Type="http://schemas.openxmlformats.org/officeDocument/2006/relationships/hyperlink" Target="http://www.consultant.ru/document/cons_doc_LAW_211896/1d99e329ca6468240e7638497ecca8eb136f4007/" TargetMode="External"/><Relationship Id="rId18" Type="http://schemas.openxmlformats.org/officeDocument/2006/relationships/hyperlink" Target="http://www.consultant.ru/document/cons_doc_LAW_175051/113878e447e9529f0bb1749e5658eda018b184d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211896/1d99e329ca6468240e7638497ecca8eb136f4007/" TargetMode="External"/><Relationship Id="rId12" Type="http://schemas.openxmlformats.org/officeDocument/2006/relationships/hyperlink" Target="http://www.consultant.ru/document/cons_doc_LAW_211896/1d99e329ca6468240e7638497ecca8eb136f4007/" TargetMode="External"/><Relationship Id="rId17" Type="http://schemas.openxmlformats.org/officeDocument/2006/relationships/hyperlink" Target="http://www.consultant.ru/document/cons_doc_LAW_175051/113878e447e9529f0bb1749e5658eda018b184d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211896/1d99e329ca6468240e7638497ecca8eb136f400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5051/113878e447e9529f0bb1749e5658eda018b184d3/" TargetMode="External"/><Relationship Id="rId11" Type="http://schemas.openxmlformats.org/officeDocument/2006/relationships/hyperlink" Target="http://www.consultant.ru/document/cons_doc_LAW_211896/1d99e329ca6468240e7638497ecca8eb136f4007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onsultant.ru/document/cons_doc_LAW_211896/1d99e329ca6468240e7638497ecca8eb136f4007/" TargetMode="External"/><Relationship Id="rId10" Type="http://schemas.openxmlformats.org/officeDocument/2006/relationships/hyperlink" Target="http://www.consultant.ru/document/cons_doc_LAW_211896/1d99e329ca6468240e7638497ecca8eb136f4007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onsultant.ru/document/cons_doc_LAW_211896/1d99e329ca6468240e7638497ecca8eb136f4007/" TargetMode="External"/><Relationship Id="rId14" Type="http://schemas.openxmlformats.org/officeDocument/2006/relationships/hyperlink" Target="http://www.consultant.ru/document/cons_doc_LAW_211896/1d99e329ca6468240e7638497ecca8eb136f400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2279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2017-09-17T20:01:00Z</dcterms:created>
  <dcterms:modified xsi:type="dcterms:W3CDTF">2017-09-17T20:05:00Z</dcterms:modified>
</cp:coreProperties>
</file>