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embeddings/oleObject1.bin" ContentType="application/vnd.openxmlformats-officedocument.oleObject"/>
  <Override PartName="/word/media/image1.wmf" ContentType="image/x-wmf"/>
  <Override PartName="/word/media/image2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93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>
      <w:pPr>
        <w:pStyle w:val="Normal"/>
        <w:tabs>
          <w:tab w:val="clear" w:pos="708"/>
          <w:tab w:val="left" w:pos="6930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930" w:leader="none"/>
        </w:tabs>
        <w:jc w:val="center"/>
        <w:rPr>
          <w:sz w:val="28"/>
          <w:szCs w:val="28"/>
        </w:rPr>
      </w:pPr>
      <w:r>
        <w:rPr/>
        <mc:AlternateContent>
          <mc:Choice Requires="wps">
            <w:drawing>
              <wp:anchor behindDoc="0" distT="0" distB="0" distL="635" distR="0" simplePos="0" locked="0" layoutInCell="1" allowOverlap="1" relativeHeight="3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4365" cy="634365"/>
                <wp:effectExtent l="635" t="0" r="0" b="0"/>
                <wp:wrapNone/>
                <wp:docPr id="1" name="_x0000_tole_rId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20" cy="634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" path="m0,0l-2147483645,0l-2147483645,-2147483646l0,-2147483646xe" stroked="f" o:allowincell="f" style="position:absolute;margin-left:0.05pt;margin-top:0.05pt;width:49.9pt;height:49.9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39.05pt;height:50.3pt;mso-wrap-distance-right:0pt" filled="t" fillcolor="#FFFFFF" o:ole="">
            <v:imagedata r:id="rId3" o:title=""/>
          </v:shape>
          <o:OLEObject Type="Embed" ProgID="Word.Picture.8" ShapeID="ole_rId2" DrawAspect="Content" ObjectID="_136667489" r:id="rId2"/>
        </w:object>
      </w:r>
    </w:p>
    <w:p>
      <w:pPr>
        <w:pStyle w:val="Normal"/>
        <w:tabs>
          <w:tab w:val="clear" w:pos="708"/>
          <w:tab w:val="left" w:pos="693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1"/>
        <w:tabs>
          <w:tab w:val="clear" w:pos="708"/>
          <w:tab w:val="left" w:pos="0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МУНИЦИПАЛЬНОГО ОБРАЗОВАНИЯ</w:t>
      </w:r>
    </w:p>
    <w:p>
      <w:pPr>
        <w:pStyle w:val="111"/>
        <w:tabs>
          <w:tab w:val="clear" w:pos="708"/>
          <w:tab w:val="left" w:pos="0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«ДОРОГОБУЖСКИЙ МУНИЦИПАЛЬНЫЙ ОКРУГ» </w:t>
      </w:r>
    </w:p>
    <w:p>
      <w:pPr>
        <w:pStyle w:val="111"/>
        <w:tabs>
          <w:tab w:val="clear" w:pos="708"/>
          <w:tab w:val="left" w:pos="0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СМОЛЕНСКОЙ ОБЛАСТИ</w:t>
      </w:r>
    </w:p>
    <w:p>
      <w:pPr>
        <w:pStyle w:val="21"/>
        <w:tabs>
          <w:tab w:val="clear" w:pos="708"/>
          <w:tab w:val="left" w:pos="0" w:leader="none"/>
        </w:tabs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cs="Times New Roman" w:ascii="Times New Roman" w:hAnsi="Times New Roman"/>
          <w:color w:themeColor="accent1" w:val="auto"/>
          <w:sz w:val="28"/>
          <w:szCs w:val="28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>Р А С П О Р Я Ж Е Н И Е</w:t>
      </w:r>
    </w:p>
    <w:p>
      <w:pPr>
        <w:pStyle w:val="Normal"/>
        <w:tabs>
          <w:tab w:val="clear" w:pos="708"/>
          <w:tab w:val="left" w:pos="693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693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6930" w:leader="none"/>
        </w:tabs>
        <w:rPr>
          <w:sz w:val="28"/>
          <w:szCs w:val="28"/>
        </w:rPr>
      </w:pPr>
      <w:r>
        <w:rPr>
          <w:sz w:val="28"/>
          <w:szCs w:val="28"/>
        </w:rPr>
        <w:t>от _____________№  _____</w:t>
      </w:r>
    </w:p>
    <w:p>
      <w:pPr>
        <w:pStyle w:val="Normal"/>
        <w:tabs>
          <w:tab w:val="clear" w:pos="708"/>
          <w:tab w:val="left" w:pos="693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6930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4611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4611"/>
      </w:tblGrid>
      <w:tr>
        <w:trPr/>
        <w:tc>
          <w:tcPr>
            <w:tcW w:w="4611" w:type="dxa"/>
            <w:tcBorders/>
          </w:tcPr>
          <w:p>
            <w:pPr>
              <w:pStyle w:val="Normal"/>
              <w:ind w:right="176"/>
              <w:jc w:val="both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О комплексном развитии территории нежилой застройки, расположенной по адресу:</w:t>
            </w:r>
            <w:r>
              <w:rPr>
                <w:spacing w:val="3"/>
                <w:w w:val="105"/>
                <w:sz w:val="26"/>
                <w:szCs w:val="26"/>
              </w:rPr>
              <w:br/>
              <w:t>Смоленская область, Дорогобужский муниципальный округ, пгт. Верхнеднепровский, ул. Комсомольская</w:t>
            </w:r>
          </w:p>
        </w:tc>
      </w:tr>
    </w:tbl>
    <w:p>
      <w:pPr>
        <w:pStyle w:val="ConsNormal"/>
        <w:ind w:firstLine="709" w:right="567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Normal"/>
        <w:ind w:firstLine="709" w:right="567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ind w:firstLine="709"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подпунктом «б» пункта 2 части 2 статьи 66, статьей 67 Градостроительного кодекса Российской Федерации, </w:t>
      </w:r>
      <w:r>
        <w:rPr>
          <w:color w:val="000000"/>
          <w:sz w:val="26"/>
          <w:szCs w:val="26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sz w:val="26"/>
          <w:szCs w:val="26"/>
        </w:rPr>
        <w:t xml:space="preserve">распоряжением Правительства Смоленской области </w:t>
      </w:r>
      <w:r>
        <w:rPr>
          <w:rFonts w:eastAsia="Calibri" w:eastAsiaTheme="minorHAnsi"/>
          <w:sz w:val="26"/>
          <w:szCs w:val="26"/>
          <w:lang w:eastAsia="en-US"/>
        </w:rPr>
        <w:t xml:space="preserve">от 10.08.2026 № 950-рп </w:t>
      </w:r>
      <w:r>
        <w:rPr>
          <w:sz w:val="26"/>
          <w:szCs w:val="26"/>
        </w:rPr>
        <w:t>«Об утверждении Региональной адресной программы по сносу объекта капитального строительства, находящегося на земельном участке с кадастровым номером 67:06:0020103:1952, расположенном по адресу: Смоленская область, Дорогобужский район, поселок Верхнеднепровский, улица Комсомольская, павильон «Фрегат», и реконструкции объекта капитального строительства, находящегося на земельном участке с кадастровым номером 67:06:0020105:2723, расположенном по адресу: Российская Федерация, Смоленская область, м.о. Дорогобужский, пгт. Верхнеднепровский, ул. Комсомольская», Правилами землепользования и застройки муниципального образования Верхнеднепровское городское поселение Дорогобужского района Смоленской области, утвержденными решением Совета Депутатов Верхнеднепровского городского поселения Дорогобужского района Смоленской области от 01.08.2012 № 32, нормативами градостроительного проектирования Верхнеднепровского городского поселения Дорогобужского района Смоленской области, утвержденными решением Совета Депутатов Верхнеднепровского городского поселения Дорогобужского района Смоленской области от 19.04.2018 № 8:</w:t>
      </w:r>
    </w:p>
    <w:p>
      <w:pPr>
        <w:pStyle w:val="Normal"/>
        <w:ind w:firstLine="709" w:right="-1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1520" w:leader="none"/>
        </w:tabs>
        <w:spacing w:before="18" w:after="0"/>
        <w:ind w:firstLine="709"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Принять решение о </w:t>
      </w:r>
      <w:r>
        <w:rPr>
          <w:w w:val="105"/>
          <w:sz w:val="26"/>
          <w:szCs w:val="26"/>
        </w:rPr>
        <w:t>комплексном развитии территории нежилой застройки, расположенной по адресу:</w:t>
      </w:r>
      <w:r>
        <w:rPr>
          <w:spacing w:val="3"/>
          <w:w w:val="105"/>
          <w:sz w:val="26"/>
          <w:szCs w:val="26"/>
        </w:rPr>
        <w:t xml:space="preserve"> Смоленская область, Дорогобужский муниципальный округ, поселок городского типа Верхнеднепровский, улица Комсомольская</w:t>
      </w:r>
      <w:r>
        <w:rPr>
          <w:color w:val="FF0000"/>
          <w:spacing w:val="3"/>
          <w:w w:val="105"/>
          <w:sz w:val="26"/>
          <w:szCs w:val="26"/>
        </w:rPr>
        <w:t>,</w:t>
      </w:r>
      <w:r>
        <w:rPr>
          <w:spacing w:val="3"/>
          <w:w w:val="105"/>
          <w:sz w:val="26"/>
          <w:szCs w:val="26"/>
        </w:rPr>
        <w:t xml:space="preserve"> </w:t>
      </w:r>
      <w:r>
        <w:rPr>
          <w:color w:val="000000"/>
          <w:spacing w:val="3"/>
          <w:w w:val="105"/>
          <w:sz w:val="26"/>
          <w:szCs w:val="26"/>
        </w:rPr>
        <w:t>площадью</w:t>
      </w:r>
      <w:r>
        <w:rPr>
          <w:color w:val="FF0000"/>
          <w:spacing w:val="3"/>
          <w:w w:val="105"/>
          <w:sz w:val="26"/>
          <w:szCs w:val="26"/>
        </w:rPr>
        <w:t xml:space="preserve"> </w:t>
      </w:r>
      <w:r>
        <w:rPr>
          <w:color w:val="000000"/>
          <w:spacing w:val="3"/>
          <w:w w:val="105"/>
          <w:sz w:val="24"/>
          <w:szCs w:val="24"/>
          <w:shd w:fill="FFFFFF" w:val="clear"/>
        </w:rPr>
        <w:t>12 953</w:t>
      </w:r>
      <w:r>
        <w:rPr>
          <w:color w:val="000000"/>
          <w:sz w:val="24"/>
          <w:szCs w:val="24"/>
          <w:shd w:fill="FFFFFF" w:val="clear"/>
        </w:rPr>
        <w:t xml:space="preserve"> </w:t>
      </w:r>
      <w:r>
        <w:rPr>
          <w:color w:val="000000"/>
          <w:sz w:val="26"/>
          <w:szCs w:val="26"/>
          <w:shd w:fill="FFFFFF" w:val="clear"/>
        </w:rPr>
        <w:t xml:space="preserve">кв.м </w:t>
      </w:r>
      <w:r>
        <w:rPr>
          <w:sz w:val="26"/>
          <w:szCs w:val="26"/>
          <w:shd w:fill="FFFFFF" w:val="clear"/>
        </w:rPr>
        <w:t xml:space="preserve">(далее соответственно – решение о комплексном развитии территории нежилой застройки, территория нежилой застройки), сведения о местоположении, площади и границах которой </w:t>
      </w:r>
      <w:r>
        <w:rPr>
          <w:sz w:val="26"/>
          <w:szCs w:val="26"/>
        </w:rPr>
        <w:t xml:space="preserve">установлены в приложении </w:t>
      </w:r>
      <w:r>
        <w:rPr>
          <w:spacing w:val="11"/>
          <w:sz w:val="26"/>
          <w:szCs w:val="26"/>
        </w:rPr>
        <w:t xml:space="preserve">№ </w:t>
      </w:r>
      <w:r>
        <w:rPr>
          <w:sz w:val="26"/>
          <w:szCs w:val="26"/>
        </w:rPr>
        <w:t>1 к настоящему распоряжению.</w:t>
      </w:r>
    </w:p>
    <w:p>
      <w:pPr>
        <w:pStyle w:val="Normal"/>
        <w:tabs>
          <w:tab w:val="clear" w:pos="708"/>
          <w:tab w:val="left" w:pos="1520" w:leader="none"/>
        </w:tabs>
        <w:spacing w:before="28" w:after="0"/>
        <w:ind w:firstLine="709" w:left="-31"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Определить перечень </w:t>
      </w:r>
      <w:r>
        <w:rPr>
          <w:sz w:val="26"/>
          <w:szCs w:val="26"/>
          <w:shd w:fill="FFFFFF" w:val="clear"/>
        </w:rPr>
        <w:t xml:space="preserve">объектов капитального строительства, расположенных в границах территории нежилой застройки, </w:t>
      </w:r>
      <w:r>
        <w:rPr>
          <w:sz w:val="26"/>
          <w:szCs w:val="26"/>
        </w:rPr>
        <w:t>включая сведения об объектах капитального строительства, подлежащих сносу или реконструкции, согласно приложению</w:t>
      </w:r>
      <w:r>
        <w:rPr>
          <w:spacing w:val="4"/>
          <w:sz w:val="26"/>
          <w:szCs w:val="26"/>
        </w:rPr>
        <w:t xml:space="preserve"> № </w:t>
      </w:r>
      <w:r>
        <w:rPr>
          <w:sz w:val="26"/>
          <w:szCs w:val="26"/>
        </w:rPr>
        <w:t>2 к настоящему распоряжению.</w:t>
      </w:r>
    </w:p>
    <w:p>
      <w:pPr>
        <w:pStyle w:val="Normal"/>
        <w:tabs>
          <w:tab w:val="clear" w:pos="708"/>
          <w:tab w:val="left" w:pos="1520" w:leader="none"/>
        </w:tabs>
        <w:spacing w:before="28" w:after="0"/>
        <w:ind w:firstLine="709" w:left="-31"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Определить перечень </w:t>
      </w:r>
      <w:r>
        <w:rPr>
          <w:color w:val="000000"/>
          <w:sz w:val="26"/>
          <w:szCs w:val="26"/>
        </w:rPr>
        <w:t>основных видов разрешенного использования земельных участков и объектов капитального строительства, которые могут быть выбраны при реализации решения комплексном развитии территории нежилой застройки, а также предельные параметры разрешенного строительства, реконструкции объектов капитального строительства в границах территории нежилой застройки</w:t>
      </w:r>
      <w:r>
        <w:rPr>
          <w:sz w:val="26"/>
          <w:szCs w:val="26"/>
          <w:shd w:fill="FFFFFF" w:val="clear"/>
        </w:rPr>
        <w:t>, согласно приложению</w:t>
      </w:r>
      <w:r>
        <w:rPr>
          <w:spacing w:val="4"/>
          <w:sz w:val="26"/>
          <w:szCs w:val="26"/>
          <w:shd w:fill="FFFFFF" w:val="clear"/>
        </w:rPr>
        <w:t xml:space="preserve"> № 3</w:t>
      </w:r>
      <w:r>
        <w:rPr>
          <w:sz w:val="26"/>
          <w:szCs w:val="26"/>
          <w:shd w:fill="FFFFFF" w:val="clear"/>
        </w:rPr>
        <w:t xml:space="preserve"> к настоящему распоряжению.</w:t>
      </w:r>
    </w:p>
    <w:p>
      <w:pPr>
        <w:pStyle w:val="Normal"/>
        <w:suppressAutoHyphens w:val="true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4. Определить расчетные показатели минимально допустимого уровня обеспеченности объектами коммунальной, транспортной, социальной                 инфраструктур и расчетные показатели максимально допустимого уровня              территориальной доступности указанных объектов для населения в границах     территории нежилой застройки</w:t>
      </w:r>
      <w:r>
        <w:rPr>
          <w:color w:val="000000"/>
          <w:sz w:val="26"/>
          <w:szCs w:val="26"/>
          <w:shd w:fill="FFFFFF" w:val="clear"/>
        </w:rPr>
        <w:t>, согласно приложению</w:t>
      </w:r>
      <w:r>
        <w:rPr>
          <w:color w:val="000000"/>
          <w:spacing w:val="4"/>
          <w:sz w:val="26"/>
          <w:szCs w:val="26"/>
          <w:shd w:fill="FFFFFF" w:val="clear"/>
        </w:rPr>
        <w:t xml:space="preserve"> № 4</w:t>
      </w:r>
      <w:r>
        <w:rPr>
          <w:color w:val="000000"/>
          <w:sz w:val="26"/>
          <w:szCs w:val="26"/>
          <w:shd w:fill="FFFFFF" w:val="clear"/>
        </w:rPr>
        <w:t xml:space="preserve"> к настоящему         распоряжению.</w:t>
      </w:r>
    </w:p>
    <w:p>
      <w:pPr>
        <w:pStyle w:val="Normal"/>
        <w:ind w:firstLine="709" w:right="-1"/>
        <w:jc w:val="both"/>
        <w:rPr>
          <w:sz w:val="26"/>
          <w:szCs w:val="26"/>
        </w:rPr>
      </w:pPr>
      <w:r>
        <w:rPr>
          <w:sz w:val="26"/>
          <w:szCs w:val="26"/>
        </w:rPr>
        <w:t>5. Определить, что предельный срок реализации решения о комплексном развитии территории нежилой застройки составляет 7 лет со дня вступления в силу  настоящего распоряжения</w:t>
      </w:r>
      <w:r>
        <w:rPr>
          <w:rFonts w:eastAsia="Calibri" w:eastAsiaTheme="minorHAnsi"/>
          <w:sz w:val="26"/>
          <w:szCs w:val="26"/>
          <w:lang w:eastAsia="en-US"/>
        </w:rPr>
        <w:t>.</w:t>
      </w:r>
    </w:p>
    <w:p>
      <w:pPr>
        <w:pStyle w:val="Normal"/>
        <w:ind w:firstLine="709" w:right="-1"/>
        <w:jc w:val="both"/>
        <w:rPr>
          <w:sz w:val="26"/>
          <w:szCs w:val="26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6. Определить, что </w:t>
      </w:r>
      <w:r>
        <w:rPr>
          <w:sz w:val="26"/>
          <w:szCs w:val="26"/>
        </w:rPr>
        <w:t xml:space="preserve">решение о комплексном развитии территории нежилой застройки </w:t>
      </w:r>
      <w:r>
        <w:rPr>
          <w:rFonts w:eastAsia="Calibri" w:eastAsiaTheme="minorHAnsi"/>
          <w:sz w:val="26"/>
          <w:szCs w:val="26"/>
          <w:lang w:eastAsia="en-US"/>
        </w:rPr>
        <w:t>реализует оператор комплексного развития территории</w:t>
      </w:r>
      <w:r>
        <w:rPr>
          <w:sz w:val="26"/>
          <w:szCs w:val="26"/>
        </w:rPr>
        <w:t xml:space="preserve"> муниципальное автономное учреждение «Физкультурно-оздоровительный комплекс «Победа» муниципального образования «Дорогобужский муниципальный округ» Смоленской области</w:t>
      </w:r>
      <w:r>
        <w:rPr>
          <w:rFonts w:eastAsia="Calibri" w:eastAsiaTheme="minorHAnsi"/>
          <w:sz w:val="26"/>
          <w:szCs w:val="26"/>
          <w:lang w:eastAsia="en-US"/>
        </w:rPr>
        <w:t xml:space="preserve">, </w:t>
      </w:r>
      <w:r>
        <w:rPr>
          <w:rFonts w:eastAsia="Calibri" w:eastAsiaTheme="minorHAnsi"/>
          <w:color w:val="000000"/>
          <w:sz w:val="26"/>
          <w:szCs w:val="26"/>
          <w:lang w:eastAsia="en-US"/>
        </w:rPr>
        <w:t>в случае если договор о комплексном развитии территории нежилой застройки не будет заключен с правообладателями объектов недвижимого имущества, расположенных в границах</w:t>
      </w:r>
      <w:r>
        <w:rPr>
          <w:color w:val="000000"/>
          <w:sz w:val="26"/>
          <w:szCs w:val="26"/>
        </w:rPr>
        <w:t xml:space="preserve"> территории нежилой застройки в соответствии с пунктом 4 части 7 статьи 66 Градостроительного кодекса Российской Федерации</w:t>
      </w:r>
      <w:r>
        <w:rPr>
          <w:rFonts w:eastAsia="Calibri" w:eastAsiaTheme="minorHAnsi"/>
          <w:color w:val="000000"/>
          <w:sz w:val="26"/>
          <w:szCs w:val="26"/>
          <w:lang w:eastAsia="en-US"/>
        </w:rPr>
        <w:t xml:space="preserve">. </w:t>
      </w:r>
    </w:p>
    <w:p>
      <w:pPr>
        <w:pStyle w:val="Normal"/>
        <w:ind w:firstLine="709" w:right="-1"/>
        <w:jc w:val="both"/>
        <w:rPr>
          <w:sz w:val="26"/>
          <w:szCs w:val="26"/>
        </w:rPr>
      </w:pPr>
      <w:r>
        <w:rPr>
          <w:color w:val="000000"/>
          <w:sz w:val="26"/>
          <w:szCs w:val="26"/>
          <w:shd w:fill="FFFFFF" w:val="clear"/>
        </w:rPr>
        <w:t>7 Контроль за исполнением настоящего распоряжения возложить на первого заместителя Главы муниципального образования «Дорогобужский муниципальный округ» Смоленской области  Смольянинова А.М.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  <w:shd w:fill="FFFFFF" w:val="clear"/>
        </w:rPr>
        <w:t>8. Настоящее распоряжение вступает в силу с даты его подписания.</w:t>
      </w:r>
    </w:p>
    <w:p>
      <w:pPr>
        <w:pStyle w:val="Normal"/>
        <w:tabs>
          <w:tab w:val="clear" w:pos="708"/>
          <w:tab w:val="left" w:pos="1520" w:leader="none"/>
        </w:tabs>
        <w:spacing w:before="28" w:after="0"/>
        <w:ind w:firstLine="709" w:left="-31" w:right="-1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65" w:right="-1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65" w:right="-1"/>
        <w:rPr>
          <w:sz w:val="26"/>
          <w:szCs w:val="26"/>
        </w:rPr>
      </w:pPr>
      <w:r>
        <w:rPr>
          <w:sz w:val="26"/>
          <w:szCs w:val="26"/>
        </w:rPr>
        <w:t>Глава муниципального образования</w:t>
      </w:r>
    </w:p>
    <w:p>
      <w:pPr>
        <w:pStyle w:val="Normal"/>
        <w:ind w:firstLine="65" w:right="-1"/>
        <w:rPr>
          <w:sz w:val="26"/>
          <w:szCs w:val="26"/>
        </w:rPr>
      </w:pPr>
      <w:r>
        <w:rPr>
          <w:sz w:val="26"/>
          <w:szCs w:val="26"/>
        </w:rPr>
        <w:t>«Дорогобужский муниципальный округ»</w:t>
      </w:r>
    </w:p>
    <w:p>
      <w:pPr>
        <w:pStyle w:val="Normal"/>
        <w:ind w:firstLine="65" w:right="-1"/>
        <w:rPr>
          <w:sz w:val="26"/>
          <w:szCs w:val="26"/>
        </w:rPr>
      </w:pPr>
      <w:r>
        <w:rPr>
          <w:sz w:val="26"/>
          <w:szCs w:val="26"/>
        </w:rPr>
        <w:t xml:space="preserve">Смоленской области </w:t>
      </w:r>
      <w:r>
        <w:rPr>
          <w:b/>
          <w:sz w:val="26"/>
          <w:szCs w:val="26"/>
        </w:rPr>
        <w:tab/>
        <w:tab/>
        <w:tab/>
        <w:tab/>
        <w:tab/>
        <w:tab/>
      </w:r>
      <w:bookmarkStart w:id="0" w:name="_GoBack"/>
      <w:bookmarkEnd w:id="0"/>
      <w:r>
        <w:rPr>
          <w:b/>
          <w:sz w:val="26"/>
          <w:szCs w:val="26"/>
        </w:rPr>
        <w:t xml:space="preserve">                           К.Н. Серенков</w:t>
      </w:r>
    </w:p>
    <w:p>
      <w:pPr>
        <w:pStyle w:val="Normal"/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br w:type="page"/>
      </w:r>
    </w:p>
    <w:tbl>
      <w:tblPr>
        <w:tblStyle w:val="af3"/>
        <w:tblW w:w="10137" w:type="dxa"/>
        <w:jc w:val="left"/>
        <w:tblInd w:w="3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68"/>
        <w:gridCol w:w="5068"/>
      </w:tblGrid>
      <w:tr>
        <w:trPr/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pageBreakBefore/>
              <w:widowControl/>
              <w:suppressAutoHyphens w:val="true"/>
              <w:spacing w:before="0" w:after="0"/>
              <w:ind w:right="-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righ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Приложение 1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распоряжению Администрации муниципального образования «Дорогобужский муниципальный округ» Смоленской области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 «</w:t>
            </w:r>
            <w:r>
              <w:rPr>
                <w:rFonts w:eastAsia="Times New Roman" w:cs="Times New Roman"/>
                <w:w w:val="105"/>
                <w:kern w:val="0"/>
                <w:sz w:val="24"/>
                <w:szCs w:val="24"/>
                <w:lang w:val="ru-RU" w:eastAsia="ru-RU" w:bidi="ar-SA"/>
              </w:rPr>
              <w:t>О комплексном развитии территории нежилой застройки, расположенной по адресу:</w:t>
            </w:r>
            <w:r>
              <w:rPr>
                <w:rFonts w:eastAsia="Times New Roman" w:cs="Times New Roman"/>
                <w:spacing w:val="3"/>
                <w:w w:val="105"/>
                <w:kern w:val="0"/>
                <w:sz w:val="24"/>
                <w:szCs w:val="24"/>
                <w:lang w:val="ru-RU" w:eastAsia="ru-RU" w:bidi="ar-SA"/>
              </w:rPr>
              <w:br/>
              <w:t>Смоленская область, Дорогобужский муниципальный округ, пгт. Верхнеднепровский, ул. Комсомольская»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___________№ ________</w:t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ind w:right="-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color w:val="000000"/>
        </w:rPr>
      </w:pPr>
      <w:r>
        <w:rPr>
          <w:rFonts w:eastAsia="Calibri" w:eastAsiaTheme="minorHAnsi"/>
          <w:b/>
          <w:color w:val="000000"/>
          <w:sz w:val="28"/>
          <w:szCs w:val="28"/>
          <w:lang w:eastAsia="en-US"/>
        </w:rPr>
        <w:t>СВЕДЕНИЯ</w:t>
      </w:r>
    </w:p>
    <w:p>
      <w:pPr>
        <w:pStyle w:val="Normal"/>
        <w:tabs>
          <w:tab w:val="clear" w:pos="708"/>
          <w:tab w:val="left" w:pos="8505" w:leader="none"/>
        </w:tabs>
        <w:ind w:left="1701" w:right="1700"/>
        <w:jc w:val="center"/>
        <w:rPr>
          <w:color w:val="000000"/>
        </w:rPr>
      </w:pPr>
      <w:r>
        <w:rPr>
          <w:rFonts w:eastAsia="Calibri" w:eastAsiaTheme="minorHAnsi"/>
          <w:b/>
          <w:color w:val="000000"/>
          <w:sz w:val="28"/>
          <w:szCs w:val="28"/>
          <w:lang w:eastAsia="en-US"/>
        </w:rPr>
        <w:t xml:space="preserve">о местоположении, площади и границах </w:t>
      </w:r>
    </w:p>
    <w:p>
      <w:pPr>
        <w:pStyle w:val="Normal"/>
        <w:tabs>
          <w:tab w:val="clear" w:pos="708"/>
          <w:tab w:val="left" w:pos="8505" w:leader="none"/>
        </w:tabs>
        <w:ind w:left="1701" w:right="1700"/>
        <w:jc w:val="center"/>
        <w:rPr>
          <w:color w:val="000000"/>
        </w:rPr>
      </w:pPr>
      <w:r>
        <w:rPr>
          <w:rFonts w:eastAsia="Calibri" w:eastAsiaTheme="minorHAnsi"/>
          <w:b/>
          <w:color w:val="000000"/>
          <w:sz w:val="28"/>
          <w:szCs w:val="28"/>
          <w:lang w:eastAsia="en-US"/>
        </w:rPr>
        <w:t>территории  нежилой застройки</w:t>
      </w:r>
    </w:p>
    <w:p>
      <w:pPr>
        <w:pStyle w:val="Normal"/>
        <w:tabs>
          <w:tab w:val="clear" w:pos="708"/>
          <w:tab w:val="left" w:pos="8505" w:leader="none"/>
        </w:tabs>
        <w:ind w:left="1701" w:right="1700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tbl>
      <w:tblPr>
        <w:tblW w:w="4800" w:type="pct"/>
        <w:jc w:val="left"/>
        <w:tblInd w:w="1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954"/>
        <w:gridCol w:w="4569"/>
      </w:tblGrid>
      <w:tr>
        <w:trPr/>
        <w:tc>
          <w:tcPr>
            <w:tcW w:w="9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rPr/>
            </w:pPr>
            <w:r>
              <w:rPr/>
              <w:drawing>
                <wp:anchor behindDoc="0" distT="0" distB="0" distL="0" distR="0" simplePos="0" locked="0" layoutInCell="0" allowOverlap="1" relativeHeight="2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118110</wp:posOffset>
                  </wp:positionV>
                  <wp:extent cx="6123305" cy="3168650"/>
                  <wp:effectExtent l="0" t="0" r="0" b="0"/>
                  <wp:wrapSquare wrapText="largest"/>
                  <wp:docPr id="2" name="Изображение1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1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3305" cy="316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49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sz w:val="24"/>
                <w:szCs w:val="24"/>
              </w:rPr>
            </w:pPr>
            <w:r>
              <mc:AlternateContent>
                <mc:Choice Requires="wps">
                  <w:drawing>
                    <wp:anchor behindDoc="0" distT="635" distB="635" distL="635" distR="635" simplePos="0" locked="0" layoutInCell="1" allowOverlap="1" relativeHeight="4">
                      <wp:simplePos x="0" y="0"/>
                      <wp:positionH relativeFrom="column">
                        <wp:posOffset>3140710</wp:posOffset>
                      </wp:positionH>
                      <wp:positionV relativeFrom="paragraph">
                        <wp:posOffset>90805</wp:posOffset>
                      </wp:positionV>
                      <wp:extent cx="394335" cy="635"/>
                      <wp:effectExtent l="635" t="635" r="635" b="635"/>
                      <wp:wrapNone/>
                      <wp:docPr id="3" name="Горизонтальная 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4200" cy="72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247.3pt,7.15pt" to="278.3pt,7.15pt" ID="Горизонтальная линия 1" stroked="t" o:allowincell="f" style="position:absolute">
                      <v:stroke color="yellow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sz w:val="24"/>
                <w:szCs w:val="24"/>
              </w:rPr>
              <w:t>Площадь территории — 12 953 кв.м</w:t>
            </w:r>
          </w:p>
        </w:tc>
        <w:tc>
          <w:tcPr>
            <w:tcW w:w="4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>
              <w:rPr>
                <w:sz w:val="24"/>
                <w:szCs w:val="24"/>
              </w:rPr>
              <w:t>граница территории</w:t>
            </w:r>
          </w:p>
        </w:tc>
      </w:tr>
    </w:tbl>
    <w:p>
      <w:pPr>
        <w:pStyle w:val="Normal"/>
        <w:ind w:firstLine="65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rFonts w:eastAsia="Calibri" w:eastAsiaTheme="minorHAnsi"/>
          <w:b/>
          <w:bCs/>
          <w:color w:val="000000"/>
          <w:sz w:val="28"/>
          <w:szCs w:val="28"/>
          <w:lang w:eastAsia="en-US"/>
        </w:rPr>
        <w:t xml:space="preserve">Координаты характерных точек границы </w:t>
      </w:r>
    </w:p>
    <w:p>
      <w:pPr>
        <w:pStyle w:val="Normal"/>
        <w:spacing w:lineRule="auto" w:line="259"/>
        <w:jc w:val="center"/>
        <w:rPr>
          <w:color w:val="000000"/>
        </w:rPr>
      </w:pPr>
      <w:r>
        <w:rPr>
          <w:rFonts w:eastAsia="Calibri" w:eastAsiaTheme="minorHAnsi"/>
          <w:b/>
          <w:bCs/>
          <w:color w:val="000000"/>
          <w:sz w:val="28"/>
          <w:szCs w:val="28"/>
          <w:lang w:eastAsia="en-US"/>
        </w:rPr>
        <w:t>территории нежилой застройки</w:t>
      </w:r>
      <w:r>
        <w:rPr>
          <w:rFonts w:eastAsia="Calibri" w:eastAsiaTheme="minorHAnsi"/>
          <w:color w:val="000000"/>
          <w:sz w:val="28"/>
          <w:szCs w:val="28"/>
          <w:lang w:eastAsia="en-US"/>
        </w:rPr>
        <w:br/>
      </w:r>
    </w:p>
    <w:p>
      <w:pPr>
        <w:pStyle w:val="Normal"/>
        <w:spacing w:lineRule="auto" w:line="259"/>
        <w:jc w:val="center"/>
        <w:rPr>
          <w:rFonts w:eastAsia="Calibri" w:eastAsiaTheme="minorHAnsi"/>
          <w:color w:val="FF0000"/>
          <w:sz w:val="28"/>
          <w:szCs w:val="28"/>
          <w:lang w:eastAsia="en-US"/>
        </w:rPr>
      </w:pPr>
      <w:r>
        <w:rPr>
          <w:rFonts w:eastAsia="Calibri" w:eastAsiaTheme="minorHAnsi"/>
          <w:color w:val="FF0000"/>
          <w:sz w:val="28"/>
          <w:szCs w:val="28"/>
          <w:lang w:eastAsia="en-US"/>
        </w:rPr>
      </w:r>
    </w:p>
    <w:tbl>
      <w:tblPr>
        <w:tblW w:w="5000" w:type="pct"/>
        <w:jc w:val="left"/>
        <w:tblInd w:w="1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349"/>
        <w:gridCol w:w="3265"/>
        <w:gridCol w:w="13"/>
        <w:gridCol w:w="3294"/>
      </w:tblGrid>
      <w:tr>
        <w:trPr/>
        <w:tc>
          <w:tcPr>
            <w:tcW w:w="3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65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Координаты, м</w:t>
            </w:r>
          </w:p>
        </w:tc>
      </w:tr>
      <w:tr>
        <w:trPr/>
        <w:tc>
          <w:tcPr>
            <w:tcW w:w="334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3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482762.10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1304878.34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482761.43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1304897.13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482744.14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1304896.26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482728.87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1304894.54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482710.33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1305152.94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482709.08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1305155.41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482702.94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1305157.45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482667.09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1305155.04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482665.00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1305151.74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482665.08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1305140.21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482666.41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1305140.26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482666.69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1305126.24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482662.95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1305126.11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482363.64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1305114.38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482657.23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1305106.57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482661.31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1305014.74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482664.89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1305008.58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482671.05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1305004.48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482675.83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1305004.78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482677.84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1304971.33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482694.74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1304972.09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482701.06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1304876.42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482762.10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1304878.34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482684.45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1305123.54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482674.00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1305122.10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482673.48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1305127.00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482675.20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1305130.25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482683.52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1305131.32</w:t>
            </w:r>
          </w:p>
        </w:tc>
      </w:tr>
      <w:tr>
        <w:trPr/>
        <w:tc>
          <w:tcPr>
            <w:tcW w:w="3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482684.45</w:t>
            </w:r>
          </w:p>
        </w:tc>
        <w:tc>
          <w:tcPr>
            <w:tcW w:w="330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1305123.54</w:t>
            </w:r>
          </w:p>
        </w:tc>
      </w:tr>
    </w:tbl>
    <w:p>
      <w:pPr>
        <w:pStyle w:val="Normal"/>
        <w:spacing w:lineRule="auto" w:line="259"/>
        <w:jc w:val="center"/>
        <w:rPr>
          <w:rFonts w:eastAsia="Calibri" w:eastAsiaTheme="minorHAnsi"/>
          <w:color w:val="FF0000"/>
          <w:sz w:val="28"/>
          <w:szCs w:val="28"/>
          <w:lang w:eastAsia="en-US"/>
        </w:rPr>
      </w:pPr>
      <w:r>
        <w:rPr>
          <w:rFonts w:eastAsia="Calibri" w:eastAsiaTheme="minorHAnsi"/>
          <w:color w:val="FF0000"/>
          <w:sz w:val="28"/>
          <w:szCs w:val="28"/>
          <w:lang w:eastAsia="en-US"/>
        </w:rPr>
      </w:r>
    </w:p>
    <w:p>
      <w:pPr>
        <w:pStyle w:val="Normal"/>
        <w:spacing w:lineRule="auto" w:line="259"/>
        <w:jc w:val="center"/>
        <w:rPr>
          <w:rFonts w:eastAsia="Calibri" w:eastAsiaTheme="minorHAnsi"/>
          <w:color w:val="FF0000"/>
          <w:sz w:val="28"/>
          <w:szCs w:val="28"/>
          <w:lang w:eastAsia="en-US"/>
        </w:rPr>
      </w:pPr>
      <w:r>
        <w:rPr>
          <w:rFonts w:eastAsia="Calibri" w:eastAsiaTheme="minorHAnsi"/>
          <w:color w:val="FF0000"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14317" w:leader="none"/>
        </w:tabs>
        <w:ind w:left="1701" w:right="1701"/>
        <w:jc w:val="center"/>
        <w:rPr>
          <w:b/>
          <w:bCs/>
          <w:color w:val="000000"/>
          <w:sz w:val="24"/>
          <w:szCs w:val="24"/>
        </w:rPr>
      </w:pPr>
      <w:r>
        <w:rPr>
          <w:rFonts w:eastAsia="Calibri" w:eastAsiaTheme="minorHAnsi"/>
          <w:b/>
          <w:bCs/>
          <w:color w:val="000000"/>
          <w:sz w:val="24"/>
          <w:szCs w:val="24"/>
          <w:lang w:eastAsia="en-US"/>
        </w:rPr>
        <w:t>ПЕРЕЧЕНЬ</w:t>
      </w:r>
    </w:p>
    <w:p>
      <w:pPr>
        <w:pStyle w:val="Normal"/>
        <w:tabs>
          <w:tab w:val="clear" w:pos="708"/>
          <w:tab w:val="left" w:pos="14317" w:leader="none"/>
        </w:tabs>
        <w:ind w:left="1701" w:right="1701"/>
        <w:jc w:val="center"/>
        <w:rPr>
          <w:b/>
          <w:bCs/>
          <w:color w:val="000000"/>
          <w:sz w:val="24"/>
          <w:szCs w:val="24"/>
        </w:rPr>
      </w:pPr>
      <w:r>
        <w:rPr>
          <w:rFonts w:eastAsia="Calibri" w:eastAsiaTheme="minorHAnsi"/>
          <w:b/>
          <w:bCs/>
          <w:color w:val="000000"/>
          <w:sz w:val="24"/>
          <w:szCs w:val="24"/>
          <w:lang w:eastAsia="en-US"/>
        </w:rPr>
        <w:t>земельных участков, расположенных в границах территории нежилой застройки</w:t>
      </w:r>
    </w:p>
    <w:p>
      <w:pPr>
        <w:pStyle w:val="Normal"/>
        <w:ind w:left="720"/>
        <w:rPr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</w:r>
    </w:p>
    <w:p>
      <w:pPr>
        <w:pStyle w:val="Normal"/>
        <w:ind w:left="720"/>
        <w:rPr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</w:r>
    </w:p>
    <w:tbl>
      <w:tblPr>
        <w:tblStyle w:val="af3"/>
        <w:tblW w:w="10255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20"/>
        <w:gridCol w:w="2580"/>
        <w:gridCol w:w="2295"/>
        <w:gridCol w:w="2659"/>
      </w:tblGrid>
      <w:tr>
        <w:trPr/>
        <w:tc>
          <w:tcPr>
            <w:tcW w:w="272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b/>
              </w:rPr>
            </w:pPr>
            <w:r>
              <w:rPr>
                <w:rFonts w:eastAsia="Times New Roman"/>
                <w:b/>
                <w:kern w:val="0"/>
                <w:lang w:val="ru-RU" w:bidi="ar-SA"/>
              </w:rPr>
              <w:t>Номер кадастрового квартала земельного участка</w:t>
            </w:r>
          </w:p>
        </w:tc>
        <w:tc>
          <w:tcPr>
            <w:tcW w:w="258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b/>
              </w:rPr>
            </w:pPr>
            <w:r>
              <w:rPr>
                <w:rFonts w:eastAsia="Times New Roman"/>
                <w:b/>
                <w:kern w:val="0"/>
                <w:lang w:val="ru-RU" w:bidi="ar-SA"/>
              </w:rPr>
              <w:t>Кадастровый номер земельного участка</w:t>
            </w:r>
          </w:p>
        </w:tc>
        <w:tc>
          <w:tcPr>
            <w:tcW w:w="2295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b/>
              </w:rPr>
            </w:pPr>
            <w:r>
              <w:rPr>
                <w:rFonts w:eastAsia="Times New Roman"/>
                <w:b/>
                <w:kern w:val="0"/>
                <w:lang w:val="ru-RU" w:bidi="ar-SA"/>
              </w:rPr>
              <w:t>Площадь земельного участка (кв.м)</w:t>
            </w:r>
          </w:p>
        </w:tc>
        <w:tc>
          <w:tcPr>
            <w:tcW w:w="2659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b/>
              </w:rPr>
            </w:pPr>
            <w:r>
              <w:rPr>
                <w:rFonts w:eastAsia="Times New Roman"/>
                <w:b/>
                <w:kern w:val="0"/>
                <w:lang w:val="ru-RU" w:bidi="ar-SA"/>
              </w:rPr>
              <w:t>Вид разрешенного использования</w:t>
            </w:r>
          </w:p>
        </w:tc>
      </w:tr>
      <w:tr>
        <w:trPr>
          <w:trHeight w:val="284" w:hRule="atLeast"/>
        </w:trPr>
        <w:tc>
          <w:tcPr>
            <w:tcW w:w="272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1</w:t>
            </w:r>
          </w:p>
        </w:tc>
        <w:tc>
          <w:tcPr>
            <w:tcW w:w="258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2</w:t>
            </w:r>
          </w:p>
        </w:tc>
        <w:tc>
          <w:tcPr>
            <w:tcW w:w="2295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3</w:t>
            </w:r>
          </w:p>
        </w:tc>
        <w:tc>
          <w:tcPr>
            <w:tcW w:w="2659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4</w:t>
            </w:r>
          </w:p>
        </w:tc>
      </w:tr>
      <w:tr>
        <w:trPr/>
        <w:tc>
          <w:tcPr>
            <w:tcW w:w="272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67:06:0020105</w:t>
            </w:r>
          </w:p>
        </w:tc>
        <w:tc>
          <w:tcPr>
            <w:tcW w:w="258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67:06:0020105:2723</w:t>
            </w:r>
          </w:p>
        </w:tc>
        <w:tc>
          <w:tcPr>
            <w:tcW w:w="2295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b/>
                <w:bCs/>
              </w:rPr>
            </w:pPr>
            <w:r>
              <w:rPr>
                <w:rFonts w:eastAsia="Times New Roman"/>
                <w:kern w:val="0"/>
                <w:lang w:val="ru-RU" w:bidi="ar-SA"/>
              </w:rPr>
              <w:t>155</w:t>
            </w:r>
          </w:p>
        </w:tc>
        <w:tc>
          <w:tcPr>
            <w:tcW w:w="2659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rFonts w:cs="Times New Roman"/>
              </w:rPr>
            </w:pPr>
            <w:r>
              <w:rPr>
                <w:rFonts w:eastAsia="Times New Roman" w:cs="Times New Roman"/>
                <w:color w:val="252625"/>
                <w:kern w:val="0"/>
                <w:lang w:val="ru-RU" w:bidi="ar-SA"/>
              </w:rPr>
              <w:t>магазины</w:t>
            </w:r>
          </w:p>
        </w:tc>
      </w:tr>
      <w:tr>
        <w:trPr>
          <w:trHeight w:val="353" w:hRule="atLeast"/>
        </w:trPr>
        <w:tc>
          <w:tcPr>
            <w:tcW w:w="272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67:06:0020103</w:t>
            </w:r>
          </w:p>
        </w:tc>
        <w:tc>
          <w:tcPr>
            <w:tcW w:w="258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67:06:0020103:1952</w:t>
            </w:r>
          </w:p>
        </w:tc>
        <w:tc>
          <w:tcPr>
            <w:tcW w:w="2295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b/>
                <w:bCs/>
              </w:rPr>
            </w:pPr>
            <w:r>
              <w:rPr>
                <w:rFonts w:eastAsia="Times New Roman"/>
                <w:kern w:val="0"/>
                <w:lang w:val="ru-RU" w:bidi="ar-SA"/>
              </w:rPr>
              <w:t>94</w:t>
            </w:r>
          </w:p>
        </w:tc>
        <w:tc>
          <w:tcPr>
            <w:tcW w:w="2659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color w:val="252625"/>
                <w:kern w:val="0"/>
                <w:lang w:val="ru-RU" w:bidi="ar-SA"/>
              </w:rPr>
              <w:t>под объект торговли</w:t>
            </w:r>
          </w:p>
        </w:tc>
      </w:tr>
      <w:tr>
        <w:trPr>
          <w:trHeight w:val="353" w:hRule="atLeast"/>
        </w:trPr>
        <w:tc>
          <w:tcPr>
            <w:tcW w:w="272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67:06:0020105</w:t>
            </w:r>
          </w:p>
        </w:tc>
        <w:tc>
          <w:tcPr>
            <w:tcW w:w="258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67:06:0020105:2436</w:t>
            </w:r>
          </w:p>
        </w:tc>
        <w:tc>
          <w:tcPr>
            <w:tcW w:w="2295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kern w:val="0"/>
                <w:lang w:val="ru-RU" w:bidi="ar-SA"/>
              </w:rPr>
              <w:t>11 588</w:t>
            </w:r>
          </w:p>
        </w:tc>
        <w:tc>
          <w:tcPr>
            <w:tcW w:w="2659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bidi="ar-SA"/>
              </w:rPr>
              <w:t>сквер</w:t>
            </w:r>
          </w:p>
        </w:tc>
      </w:tr>
      <w:tr>
        <w:trPr>
          <w:trHeight w:val="353" w:hRule="atLeast"/>
        </w:trPr>
        <w:tc>
          <w:tcPr>
            <w:tcW w:w="2720" w:type="dxa"/>
            <w:tcBorders>
              <w:top w:val="nil"/>
            </w:tcBorders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67:06:0020105</w:t>
            </w:r>
          </w:p>
        </w:tc>
        <w:tc>
          <w:tcPr>
            <w:tcW w:w="2580" w:type="dxa"/>
            <w:tcBorders>
              <w:top w:val="nil"/>
            </w:tcBorders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67:06:0020105:2721</w:t>
            </w:r>
          </w:p>
        </w:tc>
        <w:tc>
          <w:tcPr>
            <w:tcW w:w="2295" w:type="dxa"/>
            <w:tcBorders>
              <w:top w:val="nil"/>
            </w:tcBorders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kern w:val="0"/>
                <w:lang w:val="ru-RU" w:bidi="ar-SA"/>
              </w:rPr>
              <w:t>497</w:t>
            </w:r>
          </w:p>
        </w:tc>
        <w:tc>
          <w:tcPr>
            <w:tcW w:w="2659" w:type="dxa"/>
            <w:tcBorders>
              <w:top w:val="nil"/>
            </w:tcBorders>
          </w:tcPr>
          <w:p>
            <w:pPr>
              <w:pStyle w:val="BodyText"/>
              <w:widowControl/>
              <w:suppressAutoHyphens w:val="true"/>
              <w:spacing w:before="0" w:after="120"/>
              <w:jc w:val="left"/>
              <w:rPr>
                <w:rFonts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bidi="ar-SA"/>
              </w:rPr>
              <w:t>сквер</w:t>
            </w:r>
          </w:p>
        </w:tc>
      </w:tr>
    </w:tbl>
    <w:p>
      <w:pPr>
        <w:pStyle w:val="Normal"/>
        <w:ind w:left="720"/>
        <w:rPr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</w:r>
    </w:p>
    <w:p>
      <w:pPr>
        <w:pStyle w:val="Normal"/>
        <w:rPr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</w:r>
    </w:p>
    <w:p>
      <w:pPr>
        <w:pStyle w:val="Normal"/>
        <w:jc w:val="center"/>
        <w:rPr>
          <w:b/>
          <w:sz w:val="24"/>
          <w:szCs w:val="24"/>
          <w:shd w:fill="FFFFFF" w:val="clear"/>
        </w:rPr>
      </w:pPr>
      <w:r>
        <w:rPr>
          <w:b/>
          <w:sz w:val="24"/>
          <w:szCs w:val="24"/>
          <w:shd w:fill="FFFFFF" w:val="clear"/>
        </w:rPr>
        <w:t>ПЕРЕЧЕНЬ</w:t>
      </w:r>
    </w:p>
    <w:p>
      <w:pPr>
        <w:pStyle w:val="Normal"/>
        <w:jc w:val="center"/>
        <w:rPr>
          <w:b/>
          <w:sz w:val="24"/>
          <w:szCs w:val="24"/>
          <w:shd w:fill="FFFFFF" w:val="clear"/>
        </w:rPr>
      </w:pPr>
      <w:r>
        <w:rPr>
          <w:b/>
          <w:sz w:val="24"/>
          <w:szCs w:val="24"/>
          <w:shd w:fill="FFFFFF" w:val="clear"/>
        </w:rPr>
        <w:t>зон с особыми условиями использования территории нежилой застройки</w:t>
      </w:r>
    </w:p>
    <w:p>
      <w:pPr>
        <w:pStyle w:val="Normal"/>
        <w:rPr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</w:r>
    </w:p>
    <w:tbl>
      <w:tblPr>
        <w:tblStyle w:val="af3"/>
        <w:tblW w:w="10255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17"/>
        <w:gridCol w:w="2580"/>
        <w:gridCol w:w="4958"/>
      </w:tblGrid>
      <w:tr>
        <w:trPr/>
        <w:tc>
          <w:tcPr>
            <w:tcW w:w="2717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b/>
              </w:rPr>
            </w:pPr>
            <w:r>
              <w:rPr>
                <w:rFonts w:eastAsia="Times New Roman"/>
                <w:b/>
                <w:kern w:val="0"/>
                <w:lang w:val="ru-RU" w:bidi="ar-SA"/>
              </w:rPr>
              <w:t>Номер кадастрового квартала земельного участка</w:t>
            </w:r>
          </w:p>
        </w:tc>
        <w:tc>
          <w:tcPr>
            <w:tcW w:w="258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b/>
              </w:rPr>
            </w:pPr>
            <w:r>
              <w:rPr>
                <w:rFonts w:eastAsia="Times New Roman"/>
                <w:b/>
                <w:kern w:val="0"/>
                <w:lang w:val="ru-RU" w:bidi="ar-SA"/>
              </w:rPr>
              <w:t>Реестровый номер границы ЗОУИТ</w:t>
            </w:r>
          </w:p>
        </w:tc>
        <w:tc>
          <w:tcPr>
            <w:tcW w:w="4958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b/>
              </w:rPr>
            </w:pPr>
            <w:r>
              <w:rPr>
                <w:rFonts w:eastAsia="Times New Roman"/>
                <w:b/>
                <w:kern w:val="0"/>
                <w:lang w:val="ru-RU" w:bidi="ar-SA"/>
              </w:rPr>
              <w:t>Вид ЗОУИТ</w:t>
            </w:r>
          </w:p>
        </w:tc>
      </w:tr>
      <w:tr>
        <w:trPr>
          <w:trHeight w:val="284" w:hRule="atLeast"/>
        </w:trPr>
        <w:tc>
          <w:tcPr>
            <w:tcW w:w="2717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1</w:t>
            </w:r>
          </w:p>
        </w:tc>
        <w:tc>
          <w:tcPr>
            <w:tcW w:w="258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  <w:t>2</w:t>
            </w:r>
          </w:p>
        </w:tc>
        <w:tc>
          <w:tcPr>
            <w:tcW w:w="4958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imes New Roman" w:hAnsi="Times New Roman" w:eastAsia="Times New Roman"/>
                <w:kern w:val="0"/>
                <w:lang w:val="ru-RU" w:bidi="ar-SA"/>
              </w:rPr>
            </w:pPr>
            <w:r>
              <w:rPr>
                <w:rFonts w:eastAsia="Times New Roman"/>
                <w:kern w:val="0"/>
                <w:lang w:val="ru-RU" w:bidi="ar-SA"/>
              </w:rPr>
            </w:r>
          </w:p>
        </w:tc>
      </w:tr>
      <w:tr>
        <w:trPr/>
        <w:tc>
          <w:tcPr>
            <w:tcW w:w="2717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imes New Roman" w:hAnsi="Times New Roman" w:eastAsia="Times New Roman"/>
                <w:color w:val="000000"/>
                <w:kern w:val="0"/>
                <w:lang w:val="ru-RU" w:bidi="ar-SA"/>
              </w:rPr>
            </w:pPr>
            <w:r>
              <w:rPr>
                <w:rFonts w:eastAsia="Times New Roman"/>
                <w:color w:val="000000"/>
                <w:kern w:val="0"/>
                <w:lang w:val="ru-RU" w:bidi="ar-SA"/>
              </w:rPr>
              <w:t>67:06:0000000</w:t>
            </w:r>
          </w:p>
        </w:tc>
        <w:tc>
          <w:tcPr>
            <w:tcW w:w="2580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imes New Roman" w:hAnsi="Times New Roman" w:eastAsia="Times New Roman"/>
                <w:color w:val="000000"/>
                <w:kern w:val="0"/>
                <w:lang w:val="ru-RU" w:bidi="ar-SA"/>
              </w:rPr>
            </w:pPr>
            <w:r>
              <w:rPr>
                <w:rFonts w:eastAsia="Times New Roman"/>
                <w:color w:val="000000"/>
                <w:kern w:val="0"/>
                <w:lang w:val="ru-RU" w:bidi="ar-SA"/>
              </w:rPr>
              <w:t>67:06-6.205</w:t>
            </w:r>
          </w:p>
        </w:tc>
        <w:tc>
          <w:tcPr>
            <w:tcW w:w="4958" w:type="dxa"/>
            <w:tcBorders/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empora LGC Uni" w:hAnsi="Tempora LGC Uni" w:eastAsia="Times New Roman"/>
                <w:color w:val="000000"/>
                <w:kern w:val="0"/>
                <w:lang w:val="ru-RU" w:bidi="ar-SA"/>
              </w:rPr>
            </w:pPr>
            <w:r>
              <w:rPr>
                <w:rFonts w:eastAsia="Times New Roman" w:cs="Times New Roman" w:ascii="Tempora LGC Uni" w:hAnsi="Tempora LGC Uni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lang w:val="ru-RU" w:bidi="ar-SA"/>
              </w:rPr>
              <w:t>ЗОУИТ объектов энергетики, связи, транспорта</w:t>
            </w:r>
          </w:p>
        </w:tc>
      </w:tr>
      <w:tr>
        <w:trPr/>
        <w:tc>
          <w:tcPr>
            <w:tcW w:w="2717" w:type="dxa"/>
            <w:tcBorders>
              <w:top w:val="nil"/>
            </w:tcBorders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imes New Roman" w:hAnsi="Times New Roman" w:eastAsia="Times New Roman"/>
                <w:color w:val="000000"/>
                <w:kern w:val="0"/>
                <w:lang w:val="ru-RU" w:bidi="ar-SA"/>
              </w:rPr>
            </w:pPr>
            <w:r>
              <w:rPr>
                <w:rFonts w:eastAsia="Times New Roman"/>
                <w:color w:val="000000"/>
                <w:kern w:val="0"/>
                <w:lang w:val="ru-RU" w:bidi="ar-SA"/>
              </w:rPr>
              <w:t>67:06:0000000</w:t>
            </w:r>
          </w:p>
        </w:tc>
        <w:tc>
          <w:tcPr>
            <w:tcW w:w="2580" w:type="dxa"/>
            <w:tcBorders>
              <w:top w:val="nil"/>
            </w:tcBorders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imes New Roman" w:hAnsi="Times New Roman" w:eastAsia="Times New Roman"/>
                <w:color w:val="000000"/>
                <w:kern w:val="0"/>
                <w:lang w:val="ru-RU" w:bidi="ar-SA"/>
              </w:rPr>
            </w:pPr>
            <w:r>
              <w:rPr>
                <w:rFonts w:eastAsia="Times New Roman"/>
                <w:color w:val="000000"/>
                <w:kern w:val="0"/>
                <w:lang w:val="ru-RU" w:bidi="ar-SA"/>
              </w:rPr>
              <w:t>67:06-6.214</w:t>
            </w:r>
          </w:p>
        </w:tc>
        <w:tc>
          <w:tcPr>
            <w:tcW w:w="4958" w:type="dxa"/>
            <w:tcBorders>
              <w:top w:val="nil"/>
            </w:tcBorders>
          </w:tcPr>
          <w:p>
            <w:pPr>
              <w:pStyle w:val="BodyText"/>
              <w:widowControl/>
              <w:suppressAutoHyphens w:val="true"/>
              <w:spacing w:before="0" w:after="120"/>
              <w:jc w:val="center"/>
              <w:rPr>
                <w:rFonts w:ascii="Tempora LGC Uni" w:hAnsi="Tempora LGC Uni" w:eastAsia="Times New Roman"/>
                <w:b w:val="false"/>
                <w:color w:val="000000"/>
                <w:kern w:val="0"/>
                <w:lang w:val="ru-RU" w:bidi="ar-SA"/>
              </w:rPr>
            </w:pPr>
            <w:r>
              <w:rPr>
                <w:rFonts w:eastAsia="Times New Roman" w:cs="Times New Roman" w:ascii="Tempora LGC Uni" w:hAnsi="Tempora LGC Uni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lang w:val="ru-RU" w:bidi="ar-SA"/>
              </w:rPr>
              <w:t>ЗОУИТ объектов энергетики, связи, транспорта</w:t>
            </w:r>
          </w:p>
        </w:tc>
      </w:tr>
    </w:tbl>
    <w:p>
      <w:pPr>
        <w:pStyle w:val="Normal"/>
        <w:spacing w:before="0" w:after="0"/>
        <w:ind w:left="720"/>
        <w:rPr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</w:r>
      <w:r>
        <w:br w:type="page"/>
      </w:r>
    </w:p>
    <w:tbl>
      <w:tblPr>
        <w:tblStyle w:val="af3"/>
        <w:tblW w:w="10137" w:type="dxa"/>
        <w:jc w:val="left"/>
        <w:tblInd w:w="3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68"/>
        <w:gridCol w:w="5068"/>
      </w:tblGrid>
      <w:tr>
        <w:trPr/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pageBreakBefore/>
              <w:widowControl/>
              <w:suppressAutoHyphens w:val="true"/>
              <w:spacing w:before="0" w:after="0"/>
              <w:ind w:right="-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righ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Приложение 2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распоряжению Администрации муниципального образования «Дорогобужский муниципальный округ» Смоленской области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 «</w:t>
            </w:r>
            <w:r>
              <w:rPr>
                <w:rFonts w:eastAsia="Times New Roman" w:cs="Times New Roman"/>
                <w:w w:val="105"/>
                <w:kern w:val="0"/>
                <w:sz w:val="24"/>
                <w:szCs w:val="24"/>
                <w:lang w:val="ru-RU" w:eastAsia="ru-RU" w:bidi="ar-SA"/>
              </w:rPr>
              <w:t>О комплексном развитии территории нежилой застройки, расположенной по адресу:</w:t>
            </w:r>
            <w:r>
              <w:rPr>
                <w:rFonts w:eastAsia="Times New Roman" w:cs="Times New Roman"/>
                <w:spacing w:val="3"/>
                <w:w w:val="105"/>
                <w:kern w:val="0"/>
                <w:sz w:val="24"/>
                <w:szCs w:val="24"/>
                <w:lang w:val="ru-RU" w:eastAsia="ru-RU" w:bidi="ar-SA"/>
              </w:rPr>
              <w:br/>
              <w:t>Смоленская область, Дорогобужский муниципальный округ, пгт. Верхнеднепровский, ул. Комсомольская»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________№ _______</w:t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ind w:left="720"/>
        <w:jc w:val="center"/>
        <w:rPr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</w:r>
    </w:p>
    <w:p>
      <w:pPr>
        <w:pStyle w:val="Normal"/>
        <w:tabs>
          <w:tab w:val="clear" w:pos="708"/>
          <w:tab w:val="left" w:pos="14317" w:leader="none"/>
        </w:tabs>
        <w:ind w:hanging="1701" w:left="1701" w:right="-283"/>
        <w:jc w:val="center"/>
        <w:rPr>
          <w:color w:val="000000"/>
          <w:sz w:val="24"/>
          <w:szCs w:val="24"/>
        </w:rPr>
      </w:pPr>
      <w:r>
        <w:rPr>
          <w:rFonts w:eastAsia="Calibri" w:eastAsiaTheme="minorHAnsi"/>
          <w:b/>
          <w:color w:val="000000"/>
          <w:sz w:val="24"/>
          <w:szCs w:val="24"/>
          <w:lang w:eastAsia="en-US"/>
        </w:rPr>
        <w:t>ПЕРЕЧЕНЬ</w:t>
      </w:r>
    </w:p>
    <w:p>
      <w:pPr>
        <w:pStyle w:val="Normal"/>
        <w:tabs>
          <w:tab w:val="clear" w:pos="708"/>
          <w:tab w:val="left" w:pos="14317" w:leader="none"/>
        </w:tabs>
        <w:ind w:hanging="1701" w:left="1701" w:right="-283"/>
        <w:jc w:val="center"/>
        <w:rPr>
          <w:color w:val="000000"/>
          <w:sz w:val="24"/>
          <w:szCs w:val="24"/>
        </w:rPr>
      </w:pPr>
      <w:r>
        <w:rPr>
          <w:rFonts w:eastAsia="Calibri" w:eastAsiaTheme="minorHAnsi"/>
          <w:b/>
          <w:color w:val="000000"/>
          <w:sz w:val="24"/>
          <w:szCs w:val="24"/>
          <w:lang w:eastAsia="en-US"/>
        </w:rPr>
        <w:t xml:space="preserve">объектов капитального строительства, расположенных в границах территории </w:t>
      </w:r>
    </w:p>
    <w:p>
      <w:pPr>
        <w:pStyle w:val="Normal"/>
        <w:tabs>
          <w:tab w:val="clear" w:pos="708"/>
          <w:tab w:val="left" w:pos="14317" w:leader="none"/>
        </w:tabs>
        <w:ind w:hanging="1701" w:left="1701" w:right="-283"/>
        <w:jc w:val="center"/>
        <w:rPr>
          <w:color w:val="000000"/>
          <w:sz w:val="24"/>
          <w:szCs w:val="24"/>
        </w:rPr>
      </w:pPr>
      <w:r>
        <w:rPr>
          <w:rFonts w:eastAsia="Calibri" w:eastAsiaTheme="minorHAnsi"/>
          <w:b/>
          <w:color w:val="000000"/>
          <w:sz w:val="24"/>
          <w:szCs w:val="24"/>
          <w:lang w:eastAsia="en-US"/>
        </w:rPr>
        <w:t xml:space="preserve">нежилой застройки, включая сведения </w:t>
      </w:r>
    </w:p>
    <w:p>
      <w:pPr>
        <w:pStyle w:val="Normal"/>
        <w:tabs>
          <w:tab w:val="clear" w:pos="708"/>
          <w:tab w:val="left" w:pos="2616" w:leader="none"/>
          <w:tab w:val="left" w:pos="14317" w:leader="none"/>
        </w:tabs>
        <w:ind w:hanging="1701" w:left="1701" w:right="-283"/>
        <w:jc w:val="center"/>
        <w:rPr>
          <w:sz w:val="24"/>
          <w:szCs w:val="24"/>
        </w:rPr>
      </w:pPr>
      <w:r>
        <w:rPr>
          <w:rFonts w:eastAsia="Calibri" w:eastAsiaTheme="minorHAnsi"/>
          <w:b/>
          <w:color w:val="000000"/>
          <w:sz w:val="24"/>
          <w:szCs w:val="24"/>
          <w:lang w:eastAsia="en-US"/>
        </w:rPr>
        <w:t>об объектах капитального строительства, подлежащих сносу или реконструкции</w:t>
      </w:r>
    </w:p>
    <w:p>
      <w:pPr>
        <w:pStyle w:val="Normal"/>
        <w:ind w:left="720"/>
        <w:rPr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</w:r>
    </w:p>
    <w:tbl>
      <w:tblPr>
        <w:tblStyle w:val="TableNormal0"/>
        <w:tblW w:w="10206" w:type="dxa"/>
        <w:jc w:val="left"/>
        <w:tblInd w:w="36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/>
      </w:tblPr>
      <w:tblGrid>
        <w:gridCol w:w="709"/>
        <w:gridCol w:w="2337"/>
        <w:gridCol w:w="2336"/>
        <w:gridCol w:w="2415"/>
        <w:gridCol w:w="2409"/>
      </w:tblGrid>
      <w:tr>
        <w:trPr>
          <w:trHeight w:val="1380" w:hRule="atLeast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ind w:left="142" w:right="125"/>
              <w:jc w:val="center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eastAsia="Calibri" w:cs="Times New Roman"/>
                <w:kern w:val="0"/>
                <w:sz w:val="24"/>
                <w:szCs w:val="22"/>
                <w:lang w:val="en-US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4"/>
                <w:szCs w:val="22"/>
                <w:lang w:val="en-US" w:eastAsia="en-US" w:bidi="ar-SA"/>
              </w:rPr>
              <w:t>п/п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eastAsia="Calibri" w:cs="Times New Roman"/>
                <w:kern w:val="0"/>
                <w:sz w:val="24"/>
                <w:szCs w:val="22"/>
                <w:lang w:val="en-US" w:eastAsia="en-US" w:bidi="ar-SA"/>
              </w:rPr>
              <w:t>Наименование объекта капитального строительства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ind w:left="142" w:right="125"/>
              <w:jc w:val="center"/>
              <w:rPr>
                <w:rFonts w:ascii="Times New Roman" w:hAnsi="Times New Roman" w:eastAsia="Calibri" w:cs="Times New Roman"/>
                <w:sz w:val="24"/>
                <w:szCs w:val="22"/>
                <w:lang w:val="ru-RU"/>
              </w:rPr>
            </w:pPr>
            <w:r>
              <w:rPr>
                <w:rFonts w:eastAsia="Calibri" w:cs="Times New Roman"/>
                <w:kern w:val="0"/>
                <w:sz w:val="24"/>
                <w:szCs w:val="22"/>
                <w:lang w:val="ru-RU" w:eastAsia="en-US" w:bidi="ar-SA"/>
              </w:rPr>
              <w:t>Кадастровый номер объекта капитального строительства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18" w:before="0" w:after="0"/>
              <w:ind w:firstLine="37" w:left="247" w:right="242"/>
              <w:jc w:val="center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eastAsia="Calibri" w:cs="Times New Roman"/>
                <w:spacing w:val="-1"/>
                <w:kern w:val="0"/>
                <w:sz w:val="24"/>
                <w:szCs w:val="22"/>
                <w:lang w:val="en-US" w:eastAsia="en-US" w:bidi="ar-SA"/>
              </w:rPr>
              <w:t xml:space="preserve">Адрес объекта </w:t>
            </w:r>
            <w:r>
              <w:rPr>
                <w:rFonts w:eastAsia="Calibri" w:cs="Times New Roman"/>
                <w:kern w:val="0"/>
                <w:sz w:val="24"/>
                <w:szCs w:val="22"/>
                <w:lang w:val="en-US" w:eastAsia="en-US" w:bidi="ar-SA"/>
              </w:rPr>
              <w:t>капитального строительства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18" w:before="0" w:after="0"/>
              <w:ind w:right="142"/>
              <w:jc w:val="center"/>
              <w:rPr>
                <w:rFonts w:ascii="Times New Roman" w:hAnsi="Times New Roman" w:eastAsia="Calibri" w:cs="Times New Roman"/>
                <w:sz w:val="24"/>
                <w:szCs w:val="22"/>
                <w:lang w:val="ru-RU"/>
              </w:rPr>
            </w:pPr>
            <w:r>
              <w:rPr>
                <w:rFonts w:eastAsia="Calibri" w:cs="Times New Roman"/>
                <w:w w:val="95"/>
                <w:kern w:val="0"/>
                <w:sz w:val="24"/>
                <w:szCs w:val="22"/>
                <w:lang w:val="ru-RU" w:eastAsia="en-US" w:bidi="ar-SA"/>
              </w:rPr>
              <w:t xml:space="preserve">Сведения </w:t>
            </w:r>
            <w:r>
              <w:rPr>
                <w:rFonts w:eastAsia="Calibri" w:cs="Times New Roman"/>
                <w:kern w:val="0"/>
                <w:sz w:val="24"/>
                <w:szCs w:val="22"/>
                <w:lang w:val="ru-RU" w:eastAsia="en-US" w:bidi="ar-SA"/>
              </w:rPr>
              <w:t>о сносе или реконструкции объекта капитального строительства</w:t>
            </w:r>
          </w:p>
        </w:tc>
      </w:tr>
      <w:tr>
        <w:trPr>
          <w:trHeight w:val="472" w:hRule="atLeast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5" w:after="0"/>
              <w:ind w:right="14"/>
              <w:jc w:val="center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eastAsia="Calibri" w:cs="Times New Roman"/>
                <w:kern w:val="0"/>
                <w:sz w:val="24"/>
                <w:szCs w:val="22"/>
                <w:lang w:val="en-US" w:eastAsia="en-US" w:bidi="ar-SA"/>
              </w:rPr>
              <w:t>1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5" w:after="0"/>
              <w:ind w:right="14"/>
              <w:jc w:val="center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eastAsia="Calibri" w:cs="Times New Roman"/>
                <w:kern w:val="0"/>
                <w:sz w:val="24"/>
                <w:szCs w:val="22"/>
                <w:lang w:val="en-US" w:eastAsia="en-US" w:bidi="ar-SA"/>
              </w:rPr>
              <w:t>2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5" w:after="0"/>
              <w:ind w:right="14"/>
              <w:jc w:val="center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eastAsia="Calibri" w:cs="Times New Roman"/>
                <w:kern w:val="0"/>
                <w:sz w:val="24"/>
                <w:szCs w:val="22"/>
                <w:lang w:val="en-US" w:eastAsia="en-US" w:bidi="ar-SA"/>
              </w:rPr>
              <w:t>3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5" w:after="0"/>
              <w:ind w:right="14"/>
              <w:jc w:val="center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eastAsia="Calibri" w:cs="Times New Roman"/>
                <w:kern w:val="0"/>
                <w:sz w:val="24"/>
                <w:szCs w:val="22"/>
                <w:lang w:val="en-US" w:eastAsia="en-US" w:bidi="ar-SA"/>
              </w:rPr>
              <w:t>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5" w:after="0"/>
              <w:ind w:right="142"/>
              <w:jc w:val="center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eastAsia="Calibri" w:cs="Times New Roman"/>
                <w:kern w:val="0"/>
                <w:sz w:val="24"/>
                <w:szCs w:val="22"/>
                <w:lang w:val="en-US" w:eastAsia="en-US" w:bidi="ar-SA"/>
              </w:rPr>
              <w:t>5</w:t>
            </w:r>
          </w:p>
        </w:tc>
      </w:tr>
      <w:tr>
        <w:trPr>
          <w:trHeight w:val="1031" w:hRule="atLeast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1.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lang w:val="en-US" w:bidi="ar-SA"/>
              </w:rPr>
              <w:t>67:06:0020105:550</w:t>
            </w:r>
          </w:p>
          <w:p>
            <w:pPr>
              <w:pStyle w:val="BodyText"/>
              <w:widowControl w:val="false"/>
              <w:suppressAutoHyphens w:val="false"/>
              <w:spacing w:before="0" w:after="12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lang w:val="en-US" w:bidi="ar-SA"/>
              </w:rPr>
              <w:t>Магазин «Алькор-2»</w:t>
            </w:r>
          </w:p>
          <w:p>
            <w:pPr>
              <w:pStyle w:val="BodyText"/>
              <w:widowControl w:val="false"/>
              <w:suppressAutoHyphens w:val="false"/>
              <w:spacing w:before="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</w:p>
        </w:tc>
        <w:tc>
          <w:tcPr>
            <w:tcW w:w="24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eastAsia="Calibri" w:cs="Times New Roman"/>
                <w:color w:val="252625"/>
                <w:kern w:val="0"/>
                <w:lang w:val="ru-RU" w:bidi="ar-SA"/>
              </w:rPr>
              <w:t>Смоленская область, Дорогобужский муниципальный округ, поселок городского типа Верхнеднепровский, улица Комсомольская, дом 29а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ind w:left="141" w:right="142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реконструкция</w:t>
            </w:r>
          </w:p>
        </w:tc>
      </w:tr>
      <w:tr>
        <w:trPr>
          <w:trHeight w:val="897" w:hRule="atLeast"/>
        </w:trPr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146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2.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lang w:val="en-US" w:bidi="ar-SA"/>
              </w:rPr>
              <w:t>67:06:0020103:473</w:t>
            </w:r>
          </w:p>
          <w:p>
            <w:pPr>
              <w:pStyle w:val="BodyText"/>
              <w:widowControl w:val="false"/>
              <w:suppressAutoHyphens w:val="false"/>
              <w:spacing w:before="0" w:after="12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3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/>
                <w:kern w:val="0"/>
                <w:lang w:val="en-US" w:bidi="ar-SA"/>
              </w:rPr>
              <w:t>Торговый павильон «Фрегат»</w:t>
            </w:r>
          </w:p>
          <w:p>
            <w:pPr>
              <w:pStyle w:val="BodyText"/>
              <w:widowControl w:val="false"/>
              <w:suppressAutoHyphens w:val="false"/>
              <w:spacing w:before="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eastAsia="Calibri" w:cs="Times New Roman"/>
                <w:color w:val="252625"/>
                <w:kern w:val="0"/>
                <w:lang w:val="ru-RU" w:bidi="ar-SA"/>
              </w:rPr>
              <w:t>Смоленская область, Дорогобужский муниципальный округ, поселок городского типа Верхнеднепровский, улица Комсомольская, юго-западнее стадиона школы № 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снос</w:t>
            </w:r>
          </w:p>
        </w:tc>
      </w:tr>
      <w:tr>
        <w:trPr>
          <w:trHeight w:val="897" w:hRule="atLeast"/>
        </w:trPr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146"/>
              <w:jc w:val="center"/>
              <w:rPr>
                <w:rFonts w:ascii="Tempora LGC Uni" w:hAnsi="Tempora LGC Uni" w:eastAsia="Calibri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empora LGC Uni" w:hAnsi="Tempora LGC Uni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left"/>
              <w:rPr>
                <w:rFonts w:ascii="Tempora LGC Uni" w:hAnsi="Tempora LGC Uni" w:eastAsia="Calibri" w:cs="Times New Roman"/>
                <w:b w:val="false"/>
                <w:i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lang w:val="en-US" w:bidi="ar-SA"/>
              </w:rPr>
            </w:pPr>
            <w:r>
              <w:rPr>
                <w:rFonts w:eastAsia="Calibri" w:cs="Times New Roman" w:ascii="Tempora LGC Uni" w:hAnsi="Tempora LGC Uni"/>
                <w:b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lang w:val="en-US" w:bidi="ar-SA"/>
              </w:rPr>
              <w:t>67:06:0000000:724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center"/>
              <w:rPr>
                <w:rFonts w:ascii="Tempora LGC Uni" w:hAnsi="Tempora LGC Uni" w:eastAsia="Calibri"/>
                <w:b w:val="false"/>
                <w:i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highlight w:val="none"/>
                <w:shd w:fill="auto" w:val="clear"/>
                <w:lang w:val="en-US" w:bidi="ar-SA"/>
              </w:rPr>
            </w:pPr>
            <w:r>
              <w:rPr>
                <w:rFonts w:eastAsia="Calibri" w:cs="Times New Roman" w:ascii="Tempora LGC Uni" w:hAnsi="Tempora LGC Uni"/>
                <w:b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shd w:fill="auto" w:val="clear"/>
                <w:lang w:val="en-US" w:bidi="ar-SA"/>
              </w:rPr>
              <w:t>Внутриплощадочные сети на водозаборе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left"/>
              <w:rPr>
                <w:rFonts w:ascii="Tempora LGC Uni" w:hAnsi="Tempora LGC Uni" w:eastAsia="Calibri" w:cs="Times New Roman"/>
                <w:b w:val="false"/>
                <w:i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lang w:val="en-US" w:bidi="ar-SA"/>
              </w:rPr>
            </w:pPr>
            <w:r>
              <w:rPr>
                <w:rFonts w:eastAsia="Calibri" w:cs="Times New Roman" w:ascii="Tempora LGC Uni" w:hAnsi="Tempora LGC Uni"/>
                <w:b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lang w:val="en-US" w:bidi="ar-SA"/>
              </w:rPr>
              <w:t>Российская Федерация, Смоленская область, Дорогобужский район, пгт. Верхнеднепровский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142"/>
              <w:jc w:val="center"/>
              <w:rPr>
                <w:rFonts w:ascii="Tempora LGC Uni" w:hAnsi="Tempora LGC Uni" w:eastAsia="Calibri" w:cs=""/>
                <w:kern w:val="0"/>
                <w:lang w:val="en-US" w:eastAsia="en-US" w:bidi="ar-SA"/>
              </w:rPr>
            </w:pPr>
            <w:r>
              <w:rPr>
                <w:rFonts w:eastAsia="Calibri" w:cs="Times New Roman" w:ascii="Tempora LGC Uni" w:hAnsi="Tempora LGC Uni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</w:tr>
      <w:tr>
        <w:trPr>
          <w:trHeight w:val="897" w:hRule="atLeast"/>
        </w:trPr>
        <w:tc>
          <w:tcPr>
            <w:tcW w:w="709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146"/>
              <w:jc w:val="center"/>
              <w:rPr>
                <w:rFonts w:ascii="Tempora LGC Uni" w:hAnsi="Tempora LGC Uni" w:eastAsia="Calibri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empora LGC Uni" w:hAnsi="Tempora LGC Uni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33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left"/>
              <w:rPr>
                <w:rFonts w:ascii="Tempora LGC Uni" w:hAnsi="Tempora LGC Uni" w:eastAsia="Calibri" w:cs="Times New Roman"/>
                <w:b w:val="false"/>
                <w:i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lang w:val="en-US" w:bidi="ar-SA"/>
              </w:rPr>
            </w:pPr>
            <w:r>
              <w:rPr>
                <w:rFonts w:eastAsia="Calibri" w:cs="Times New Roman" w:ascii="Tempora LGC Uni" w:hAnsi="Tempora LGC Uni"/>
                <w:b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lang w:val="en-US" w:bidi="ar-SA"/>
              </w:rPr>
              <w:t>67:06:0000000:489</w:t>
            </w:r>
          </w:p>
        </w:tc>
        <w:tc>
          <w:tcPr>
            <w:tcW w:w="2336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center"/>
              <w:rPr>
                <w:rFonts w:ascii="Tempora LGC Uni" w:hAnsi="Tempora LGC Uni" w:eastAsia="Calibri" w:cs="Times New Roman"/>
                <w:b w:val="false"/>
                <w:i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lang w:val="en-US" w:bidi="ar-SA"/>
              </w:rPr>
            </w:pPr>
            <w:r>
              <w:rPr>
                <w:rFonts w:eastAsia="Calibri" w:cs="Times New Roman" w:ascii="Tempora LGC Uni" w:hAnsi="Tempora LGC Uni"/>
                <w:b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lang w:val="en-US" w:bidi="ar-SA"/>
              </w:rPr>
              <w:t>Канализационные сети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uppressAutoHyphens w:val="false"/>
              <w:spacing w:before="0" w:after="120"/>
              <w:jc w:val="left"/>
              <w:rPr>
                <w:rFonts w:ascii="Tempora LGC Uni" w:hAnsi="Tempora LGC Uni" w:eastAsia="Calibri" w:cs="Times New Roman"/>
                <w:b w:val="false"/>
                <w:i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lang w:val="en-US" w:bidi="ar-SA"/>
              </w:rPr>
            </w:pPr>
            <w:r>
              <w:rPr>
                <w:rFonts w:eastAsia="Calibri" w:cs="Times New Roman" w:ascii="Tempora LGC Uni" w:hAnsi="Tempora LGC Uni"/>
                <w:b w:val="false"/>
                <w:i w:val="false"/>
                <w:caps w:val="false"/>
                <w:smallCaps w:val="false"/>
                <w:color w:val="252625"/>
                <w:spacing w:val="0"/>
                <w:kern w:val="0"/>
                <w:sz w:val="24"/>
                <w:lang w:val="en-US" w:bidi="ar-SA"/>
              </w:rPr>
              <w:t>Российская Федерация, Смоленская область, р-н Дорогобужский, пгт Верхнеднепровский, ул.Комсомольская, ул.Ленина, пр.Химиков, ул.Молодежная, ул.Дачная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ind w:right="142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-</w:t>
            </w:r>
          </w:p>
        </w:tc>
      </w:tr>
    </w:tbl>
    <w:p>
      <w:pPr>
        <w:pStyle w:val="Normal"/>
        <w:ind w:left="720"/>
        <w:rPr>
          <w:b/>
          <w:sz w:val="28"/>
          <w:szCs w:val="28"/>
          <w:shd w:fill="FFFFFF" w:val="clear"/>
        </w:rPr>
      </w:pPr>
      <w:r>
        <w:rPr>
          <w:b/>
          <w:sz w:val="28"/>
          <w:szCs w:val="28"/>
          <w:shd w:fill="FFFFFF" w:val="clear"/>
        </w:rPr>
      </w:r>
    </w:p>
    <w:p>
      <w:pPr>
        <w:pStyle w:val="Normal"/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br w:type="page"/>
      </w:r>
    </w:p>
    <w:tbl>
      <w:tblPr>
        <w:tblStyle w:val="af3"/>
        <w:tblW w:w="10137" w:type="dxa"/>
        <w:jc w:val="left"/>
        <w:tblInd w:w="3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68"/>
        <w:gridCol w:w="5068"/>
      </w:tblGrid>
      <w:tr>
        <w:trPr/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pageBreakBefore/>
              <w:widowControl/>
              <w:suppressAutoHyphens w:val="true"/>
              <w:spacing w:before="0" w:after="0"/>
              <w:ind w:right="-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righ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Приложение 3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распоряжению Администрации муниципального образования «Дорогобужский муниципальный округ» Смоленской области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 «</w:t>
            </w:r>
            <w:r>
              <w:rPr>
                <w:rFonts w:eastAsia="Times New Roman" w:cs="Times New Roman"/>
                <w:w w:val="105"/>
                <w:kern w:val="0"/>
                <w:sz w:val="24"/>
                <w:szCs w:val="24"/>
                <w:lang w:val="ru-RU" w:eastAsia="ru-RU" w:bidi="ar-SA"/>
              </w:rPr>
              <w:t>О комплексном развитии территории нежилой застройки, расположенной по адресу:</w:t>
            </w:r>
            <w:r>
              <w:rPr>
                <w:rFonts w:eastAsia="Times New Roman" w:cs="Times New Roman"/>
                <w:spacing w:val="3"/>
                <w:w w:val="105"/>
                <w:kern w:val="0"/>
                <w:sz w:val="24"/>
                <w:szCs w:val="24"/>
                <w:lang w:val="ru-RU" w:eastAsia="ru-RU" w:bidi="ar-SA"/>
              </w:rPr>
              <w:br/>
              <w:t>Смоленская область, Дорогобужский муниципальный округ, пгт. Верхнеднепровский, ул. Комсомольская»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___________№ ________</w:t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ind w:left="360"/>
        <w:jc w:val="center"/>
        <w:rPr>
          <w:color w:val="000000"/>
          <w:sz w:val="24"/>
          <w:szCs w:val="28"/>
          <w:shd w:fill="FFFFFF" w:val="clear"/>
        </w:rPr>
      </w:pPr>
      <w:r>
        <w:rPr>
          <w:color w:val="000000"/>
          <w:sz w:val="24"/>
          <w:szCs w:val="28"/>
          <w:shd w:fill="FFFFFF" w:val="clear"/>
        </w:rPr>
      </w:r>
    </w:p>
    <w:p>
      <w:pPr>
        <w:pStyle w:val="Default"/>
        <w:ind w:hanging="737" w:left="737"/>
        <w:jc w:val="center"/>
        <w:rPr/>
      </w:pPr>
      <w:r>
        <w:rPr>
          <w:b/>
          <w:bCs/>
          <w:shd w:fill="FFFFFF" w:val="clear"/>
        </w:rPr>
        <w:t>Основные виды разрешенного использования земельных участков и объектов капитального строительства, которые могут быть выбраны при реализации решения  о комплексном развитии территории нежилой застройки,</w:t>
      </w:r>
      <w:r>
        <w:rPr>
          <w:b/>
          <w:bCs/>
        </w:rPr>
        <w:t xml:space="preserve"> а также предельные параметры разрешенного </w:t>
        <w:br/>
        <w:t xml:space="preserve">строительства, реконструкции объектов капитального </w:t>
        <w:br/>
        <w:t>строительства в границах территории нежилой застройки</w:t>
      </w:r>
    </w:p>
    <w:p>
      <w:pPr>
        <w:pStyle w:val="Normal"/>
        <w:ind w:left="36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firstLine="737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shd w:fill="FFFFFF" w:val="clear"/>
        </w:rPr>
        <w:t>Территориальная зона Р.1 — зона озелененных территорий общего пользования (лесопарки, парки, сады, скверы, бульвары, городские леса)</w:t>
      </w:r>
    </w:p>
    <w:p>
      <w:pPr>
        <w:pStyle w:val="Normal"/>
        <w:ind w:left="360"/>
        <w:jc w:val="center"/>
        <w:rPr>
          <w:color w:val="000000"/>
          <w:sz w:val="24"/>
          <w:szCs w:val="28"/>
          <w:shd w:fill="FFFFFF" w:val="clear"/>
        </w:rPr>
      </w:pPr>
      <w:r>
        <w:rPr>
          <w:color w:val="000000"/>
          <w:sz w:val="24"/>
          <w:szCs w:val="28"/>
          <w:shd w:fill="FFFFFF" w:val="clear"/>
        </w:rPr>
      </w:r>
    </w:p>
    <w:tbl>
      <w:tblPr>
        <w:tblW w:w="5000" w:type="pct"/>
        <w:jc w:val="left"/>
        <w:tblInd w:w="17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2263"/>
        <w:gridCol w:w="2223"/>
        <w:gridCol w:w="5435"/>
      </w:tblGrid>
      <w:tr>
        <w:trPr/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sz w:val="24"/>
                <w:szCs w:val="24"/>
              </w:rPr>
            </w:pPr>
            <w:r>
              <w:rPr>
                <w:rFonts w:eastAsia="Calibri" w:eastAsiaTheme="minorHAnsi"/>
                <w:b/>
                <w:sz w:val="24"/>
                <w:szCs w:val="24"/>
                <w:lang w:eastAsia="en-US"/>
              </w:rPr>
              <w:t>Код (числовое обозначение) вида разрешенного использования земельного участка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sz w:val="24"/>
                <w:szCs w:val="24"/>
              </w:rPr>
            </w:pPr>
            <w:r>
              <w:rPr>
                <w:rFonts w:ascii="Tempora LGC Uni" w:hAnsi="Tempora LGC Uni"/>
                <w:b/>
                <w:bCs/>
                <w:color w:val="000000"/>
                <w:sz w:val="24"/>
                <w:szCs w:val="24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rPr>
                <w:sz w:val="24"/>
                <w:szCs w:val="24"/>
              </w:rPr>
            </w:pPr>
            <w:r>
              <w:rPr>
                <w:rFonts w:ascii="Tempora LGC Uni" w:hAnsi="Tempora LGC Uni"/>
                <w:b/>
                <w:bCs/>
                <w:color w:val="000000"/>
                <w:sz w:val="24"/>
                <w:szCs w:val="24"/>
              </w:rPr>
              <w:t>Описание вида разрешенного использования земельного участка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Отдых (рекреация)</w:t>
            </w:r>
          </w:p>
        </w:tc>
        <w:tc>
          <w:tcPr>
            <w:tcW w:w="5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jc w:val="both"/>
              <w:rPr>
                <w:rFonts w:ascii="Tempora LGC Uni" w:hAnsi="Tempora LGC Uni"/>
                <w:color w:val="000000"/>
              </w:rPr>
            </w:pPr>
            <w:bookmarkStart w:id="1" w:name="p_319"/>
            <w:bookmarkEnd w:id="1"/>
            <w:r>
              <w:rPr>
                <w:rFonts w:ascii="Tempora LGC Uni" w:hAnsi="Tempora LGC Uni"/>
                <w:color w:val="00000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Спорт</w:t>
            </w:r>
          </w:p>
        </w:tc>
        <w:tc>
          <w:tcPr>
            <w:tcW w:w="5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/>
              <w:jc w:val="both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Размещение зданий и сооружений для занятия спортом</w:t>
            </w:r>
          </w:p>
          <w:p>
            <w:pPr>
              <w:pStyle w:val="Style19"/>
              <w:widowControl/>
              <w:jc w:val="both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empora LGC Uni" w:hAnsi="Tempora LGC Uni"/>
                <w:color w:val="000000"/>
                <w:sz w:val="24"/>
                <w:szCs w:val="24"/>
              </w:rPr>
              <w:t>Культурное развитие</w:t>
            </w:r>
          </w:p>
        </w:tc>
        <w:tc>
          <w:tcPr>
            <w:tcW w:w="5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/>
              <w:jc w:val="both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Размещение зданий и сооружений, предназначенных для размещения объектов культуры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Коммунальное обслуживание</w:t>
            </w:r>
          </w:p>
        </w:tc>
        <w:tc>
          <w:tcPr>
            <w:tcW w:w="5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/>
              <w:jc w:val="both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12.0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Земельные участки (территории) общего пользования</w:t>
            </w:r>
          </w:p>
        </w:tc>
        <w:tc>
          <w:tcPr>
            <w:tcW w:w="5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/>
              <w:jc w:val="both"/>
              <w:rPr>
                <w:rFonts w:ascii="Tempora LGC Uni" w:hAnsi="Tempora LGC Uni"/>
                <w:color w:val="000000"/>
                <w:sz w:val="24"/>
                <w:szCs w:val="24"/>
              </w:rPr>
            </w:pPr>
            <w:r>
              <w:rPr>
                <w:rFonts w:ascii="Tempora LGC Uni" w:hAnsi="Tempora LGC Uni"/>
                <w:color w:val="000000"/>
                <w:sz w:val="24"/>
                <w:szCs w:val="24"/>
              </w:rPr>
              <w:t>Земельные участки общего пользования</w:t>
            </w:r>
          </w:p>
        </w:tc>
      </w:tr>
    </w:tbl>
    <w:p>
      <w:pPr>
        <w:pStyle w:val="Normal"/>
        <w:spacing w:lineRule="atLeast" w:line="17" w:before="0" w:after="200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</w:r>
    </w:p>
    <w:p>
      <w:pPr>
        <w:pStyle w:val="Normal"/>
        <w:spacing w:lineRule="atLeast" w:line="17" w:before="0" w:after="200"/>
        <w:ind w:left="993" w:right="565"/>
        <w:jc w:val="center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Предельные параметры разрешенного строительства, реконструкции объектов капитального строительства в границах территории нежилой застройки </w:t>
      </w:r>
    </w:p>
    <w:p>
      <w:pPr>
        <w:pStyle w:val="Normal"/>
        <w:spacing w:lineRule="atLeast" w:line="17"/>
        <w:jc w:val="center"/>
        <w:rPr/>
      </w:pPr>
      <w:r>
        <w:rPr/>
      </w:r>
    </w:p>
    <w:p>
      <w:pPr>
        <w:pStyle w:val="Normal"/>
        <w:ind w:firstLine="737"/>
        <w:rPr>
          <w:b/>
          <w:bCs/>
          <w:color w:val="000000"/>
          <w:sz w:val="24"/>
          <w:szCs w:val="28"/>
          <w:shd w:fill="FFFFFF" w:val="clear"/>
        </w:rPr>
      </w:pPr>
      <w:r>
        <w:rPr>
          <w:b/>
          <w:bCs/>
          <w:color w:val="000000"/>
          <w:sz w:val="24"/>
          <w:szCs w:val="28"/>
          <w:shd w:fill="FFFFFF" w:val="clear"/>
        </w:rPr>
        <w:t>Территориальная зона Р.1 — зона озелененных территорий общего пользования (лесопарки, парки, сады, скверы, бульвары, городские леса)</w:t>
      </w:r>
    </w:p>
    <w:p>
      <w:pPr>
        <w:pStyle w:val="Normal"/>
        <w:rPr/>
      </w:pPr>
      <w:r>
        <w:rPr/>
      </w:r>
    </w:p>
    <w:p>
      <w:pPr>
        <w:pStyle w:val="Normal"/>
        <w:spacing w:lineRule="atLeast" w:line="17"/>
        <w:jc w:val="both"/>
        <w:rPr/>
      </w:pPr>
      <w:r>
        <w:rPr/>
      </w:r>
    </w:p>
    <w:p>
      <w:pPr>
        <w:pStyle w:val="Normal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— 3 м.</w:t>
      </w:r>
    </w:p>
    <w:p>
      <w:pPr>
        <w:pStyle w:val="Normal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Предельное количество этажей или предельная высота зданий, строений, сооружений — 2 этажа (включая мансардный).</w:t>
      </w:r>
    </w:p>
    <w:p>
      <w:pPr>
        <w:pStyle w:val="Normal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- 40%</w:t>
      </w:r>
    </w:p>
    <w:p>
      <w:pPr>
        <w:pStyle w:val="Normal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 Максимальная плотность застройки земельного участка, определяемая как отношение суммарной поэтажной площади наземной и надземной части застройки во внешних габаритах ограждающих конструкций, к площади земельного участка — 0,15 тыс. кв.м/га.</w:t>
      </w:r>
    </w:p>
    <w:p>
      <w:pPr>
        <w:pStyle w:val="Normal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 Минимальный процент озеленения земельного участка, определяемый как отношение суммарной площади земельного участка, которая должна быть озеленена, ко всей площади земельного участка — 80%.</w:t>
      </w:r>
    </w:p>
    <w:p>
      <w:pPr>
        <w:pStyle w:val="Normal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spacing w:lineRule="atLeast" w:line="17"/>
        <w:ind w:firstLine="709"/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</w:r>
    </w:p>
    <w:p>
      <w:pPr>
        <w:pStyle w:val="Normal"/>
        <w:rPr>
          <w:b/>
          <w:color w:val="000000"/>
          <w:sz w:val="24"/>
        </w:rPr>
      </w:pPr>
      <w:r>
        <w:rPr>
          <w:b/>
          <w:color w:val="000000"/>
          <w:sz w:val="24"/>
        </w:rPr>
      </w:r>
      <w:r>
        <w:br w:type="page"/>
      </w:r>
    </w:p>
    <w:tbl>
      <w:tblPr>
        <w:tblStyle w:val="af3"/>
        <w:tblW w:w="10137" w:type="dxa"/>
        <w:jc w:val="left"/>
        <w:tblInd w:w="3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68"/>
        <w:gridCol w:w="5068"/>
      </w:tblGrid>
      <w:tr>
        <w:trPr/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pageBreakBefore/>
              <w:widowControl/>
              <w:suppressAutoHyphens w:val="true"/>
              <w:spacing w:before="0" w:after="0"/>
              <w:ind w:right="-1"/>
              <w:jc w:val="right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righ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Приложение 4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 распоряжению Администрации муниципального образования «Дорогобужский муниципальный округ» Смоленской области</w:t>
            </w: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«</w:t>
            </w:r>
            <w:r>
              <w:rPr>
                <w:rFonts w:eastAsia="Times New Roman" w:cs="Times New Roman"/>
                <w:color w:val="000000"/>
                <w:w w:val="105"/>
                <w:kern w:val="0"/>
                <w:sz w:val="24"/>
                <w:szCs w:val="24"/>
                <w:lang w:val="ru-RU" w:eastAsia="ru-RU" w:bidi="ar-SA"/>
              </w:rPr>
              <w:t>О комплексном развитии территории нежилой застройки, расположенной по адресу:</w:t>
            </w:r>
            <w:r>
              <w:rPr>
                <w:rFonts w:eastAsia="Times New Roman" w:cs="Times New Roman"/>
                <w:color w:val="000000"/>
                <w:spacing w:val="3"/>
                <w:w w:val="105"/>
                <w:kern w:val="0"/>
                <w:sz w:val="24"/>
                <w:szCs w:val="24"/>
                <w:lang w:val="ru-RU" w:eastAsia="ru-RU" w:bidi="ar-SA"/>
              </w:rPr>
              <w:br/>
              <w:t>Смоленская область, Дорогобужский муниципальный округ, пгт. Верхнеднепровский, ул. Комсомольская»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5" w:right="-1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от ___________№ ________</w:t>
            </w:r>
          </w:p>
          <w:p>
            <w:pPr>
              <w:pStyle w:val="Normal"/>
              <w:widowControl/>
              <w:suppressAutoHyphens w:val="true"/>
              <w:spacing w:before="0" w:after="0"/>
              <w:ind w:right="-1"/>
              <w:jc w:val="both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</w:r>
          </w:p>
        </w:tc>
      </w:tr>
    </w:tbl>
    <w:p>
      <w:pPr>
        <w:pStyle w:val="Normal"/>
        <w:ind w:left="360"/>
        <w:jc w:val="center"/>
        <w:rPr>
          <w:color w:val="FF0000"/>
          <w:sz w:val="24"/>
          <w:szCs w:val="28"/>
          <w:shd w:fill="FFFFFF" w:val="clear"/>
        </w:rPr>
      </w:pPr>
      <w:r>
        <w:rPr>
          <w:color w:val="FF0000"/>
          <w:sz w:val="24"/>
          <w:szCs w:val="28"/>
          <w:shd w:fill="FFFFFF" w:val="clear"/>
        </w:rPr>
      </w:r>
    </w:p>
    <w:p>
      <w:pPr>
        <w:pStyle w:val="Normal"/>
        <w:spacing w:lineRule="atLeast" w:line="17"/>
        <w:ind w:left="993" w:right="1274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Расчетные показатели минимально допустимого уровня обеспеченности объектами коммунальной, транспортной, социальной 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территории нежилой застройки</w:t>
      </w:r>
    </w:p>
    <w:p>
      <w:pPr>
        <w:pStyle w:val="Normal"/>
        <w:spacing w:lineRule="atLeast" w:line="17"/>
        <w:ind w:left="993" w:right="1274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Heading3"/>
        <w:spacing w:before="240" w:after="12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Показатели, устанавливаемые для объектов местного значения в области физической культуры и спорта</w:t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tbl>
      <w:tblPr>
        <w:tblW w:w="9924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237"/>
        <w:gridCol w:w="1814"/>
        <w:gridCol w:w="1583"/>
        <w:gridCol w:w="2289"/>
      </w:tblGrid>
      <w:tr>
        <w:trPr>
          <w:tblHeader w:val="true"/>
        </w:trPr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Значение показателя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Нормируемый радиус обслуживания</w:t>
            </w:r>
          </w:p>
        </w:tc>
      </w:tr>
      <w:tr>
        <w:trPr/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 Спортивный зал общего пользования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кв.м на 1000 чел.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60 - 80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 м</w:t>
            </w:r>
          </w:p>
        </w:tc>
      </w:tr>
      <w:tr>
        <w:trPr/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 Бассейн общего пользования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квадратных метров площади зеркала воды на 1000 жителей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20 - 25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 нормируется</w:t>
            </w:r>
          </w:p>
        </w:tc>
      </w:tr>
      <w:tr>
        <w:trPr/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 Открытая спортплощадка, расположенная на озеленённых территориях общего пользования, всего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количество квадратных метров земельных участков из расчёта на одного жителя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1,9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500 - 1500 м</w:t>
            </w:r>
          </w:p>
        </w:tc>
      </w:tr>
      <w:tr>
        <w:trPr/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том числе: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в пределах доступности до 500 метров</w:t>
            </w:r>
          </w:p>
        </w:tc>
        <w:tc>
          <w:tcPr>
            <w:tcW w:w="18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 м</w:t>
            </w:r>
          </w:p>
        </w:tc>
      </w:tr>
      <w:tr>
        <w:trPr/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в пределах доступности более 500 метров</w:t>
            </w:r>
          </w:p>
        </w:tc>
        <w:tc>
          <w:tcPr>
            <w:tcW w:w="18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1,4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1500 м</w:t>
            </w:r>
          </w:p>
        </w:tc>
      </w:tr>
      <w:tr>
        <w:trPr/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 Спортивное сооружение общего пользования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количество квадратных метров земельных участков на 1 жителя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</w:tr>
      <w:tr>
        <w:trPr/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том числе: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в пределах доступности до 500 метров</w:t>
            </w:r>
          </w:p>
        </w:tc>
        <w:tc>
          <w:tcPr>
            <w:tcW w:w="18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0,3 - 0,7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 м</w:t>
            </w:r>
          </w:p>
        </w:tc>
      </w:tr>
      <w:tr>
        <w:trPr/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в пределах доступности более 500 метров</w:t>
            </w:r>
          </w:p>
        </w:tc>
        <w:tc>
          <w:tcPr>
            <w:tcW w:w="18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1,3 - 1,5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1500 м</w:t>
            </w:r>
          </w:p>
        </w:tc>
      </w:tr>
      <w:tr>
        <w:trPr/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 Детские и юношеские спортивные школы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 на 1000 жителей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Радиус транспортной доступности (в одну сторону) не более, 30 мин</w:t>
            </w:r>
          </w:p>
        </w:tc>
      </w:tr>
    </w:tbl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Heading2"/>
        <w:spacing w:before="120" w:after="120"/>
        <w:jc w:val="center"/>
        <w:rPr>
          <w:rFonts w:ascii="Times New Roman" w:hAnsi="Times New Roman" w:cs="Times New Roman"/>
          <w:i w:val="false"/>
          <w:i w:val="false"/>
          <w:iCs w:val="false"/>
        </w:rPr>
      </w:pPr>
      <w:r>
        <w:rPr>
          <w:rFonts w:cs="Times New Roman" w:ascii="Times New Roman" w:hAnsi="Times New Roman"/>
          <w:i w:val="false"/>
          <w:iCs w:val="false"/>
        </w:rPr>
      </w:r>
    </w:p>
    <w:p>
      <w:pPr>
        <w:pStyle w:val="Normal"/>
        <w:spacing w:before="120" w:after="120"/>
        <w:jc w:val="center"/>
        <w:rPr/>
      </w:pPr>
      <w:r>
        <w:rPr/>
      </w:r>
    </w:p>
    <w:p>
      <w:pPr>
        <w:pStyle w:val="Heading2"/>
        <w:spacing w:before="120" w:after="120"/>
        <w:jc w:val="center"/>
        <w:rPr>
          <w:color w:val="000000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</w:rPr>
        <w:t>Показатели, устанавливаемые для объектов местного значения в области рекреации</w:t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tbl>
      <w:tblPr>
        <w:tblW w:w="9924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215"/>
        <w:gridCol w:w="2386"/>
        <w:gridCol w:w="2323"/>
      </w:tblGrid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объекта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 показателя</w:t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Озелененные территории общего пользования общегородского значения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/чел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8 - 10</w:t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Площади озеленения территорий объектов рекреационного назначения от общего баланса территории</w:t>
            </w:r>
          </w:p>
        </w:tc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Зеленые насаждения</w:t>
            </w:r>
          </w:p>
        </w:tc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65 - 75</w:t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Аллеи и дороги</w:t>
            </w:r>
          </w:p>
        </w:tc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10 - 15</w:t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Площадки</w:t>
            </w:r>
          </w:p>
        </w:tc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8 - 12</w:t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Сооружения</w:t>
            </w:r>
          </w:p>
        </w:tc>
        <w:tc>
          <w:tcPr>
            <w:tcW w:w="2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5 - 7</w:t>
            </w:r>
          </w:p>
        </w:tc>
      </w:tr>
    </w:tbl>
    <w:p>
      <w:pPr>
        <w:pStyle w:val="Heading3"/>
        <w:spacing w:before="240" w:after="120"/>
        <w:jc w:val="center"/>
        <w:rPr>
          <w:color w:val="000000"/>
          <w:sz w:val="24"/>
          <w:szCs w:val="24"/>
        </w:rPr>
      </w:pPr>
      <w:r>
        <w:rPr>
          <w:rFonts w:cs="Times New Roman" w:ascii="Times New Roman" w:hAnsi="Times New Roman"/>
          <w:bCs w:val="false"/>
          <w:color w:val="000000"/>
          <w:sz w:val="24"/>
          <w:szCs w:val="24"/>
        </w:rPr>
        <w:t>Расчетные показатели, устанавливаемые для объектов местного значения в области социального и коммунально-бытового обеспечения</w:t>
      </w:r>
    </w:p>
    <w:tbl>
      <w:tblPr>
        <w:tblW w:w="5000" w:type="pct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700"/>
        <w:gridCol w:w="2488"/>
        <w:gridCol w:w="1613"/>
        <w:gridCol w:w="2119"/>
      </w:tblGrid>
      <w:tr>
        <w:trPr>
          <w:tblHeader w:val="true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Значение показателя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Нормируемый радиус обслуживания</w:t>
            </w:r>
          </w:p>
        </w:tc>
      </w:tr>
      <w:tr>
        <w:trPr/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Объекты бытового  обслуживания населения на 1 тыс. чел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рабочее место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нормируется</w:t>
            </w:r>
          </w:p>
        </w:tc>
      </w:tr>
      <w:tr>
        <w:trPr/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Гостиница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 на 1000 жителей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нормируется</w:t>
            </w:r>
          </w:p>
        </w:tc>
      </w:tr>
      <w:tr>
        <w:trPr/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Общественная уборная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righ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приборов на 1000 жителей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righ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right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500 - 700м</w:t>
            </w:r>
          </w:p>
        </w:tc>
      </w:tr>
    </w:tbl>
    <w:p>
      <w:pPr>
        <w:pStyle w:val="Normal"/>
        <w:spacing w:before="120" w:after="120"/>
        <w:jc w:val="center"/>
        <w:rPr/>
      </w:pPr>
      <w:r>
        <w:rPr/>
      </w:r>
    </w:p>
    <w:p>
      <w:pPr>
        <w:pStyle w:val="Heading2"/>
        <w:spacing w:before="120" w:after="120"/>
        <w:jc w:val="center"/>
        <w:rPr>
          <w:color w:val="000000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color w:val="000000"/>
          <w:sz w:val="24"/>
          <w:szCs w:val="24"/>
        </w:rPr>
        <w:t>Показатели в сфере транспортно-дорожной, улично-дорожной сети и ее элементов, систем пассажирского общественного транспорта</w:t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215"/>
        <w:gridCol w:w="2390"/>
        <w:gridCol w:w="2316"/>
      </w:tblGrid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 показателя</w:t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улично-дорожной сети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км/км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2,5 - 4,5</w:t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сети автомобильных дорог общего пользования, не менее, км/кв. км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0,36</w:t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сети общественного пассажирского транспорта, км/кв. км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0,34</w:t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 сети линий наземного общественного пассажирского транспорта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км/км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 – 2,8</w:t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Расстояния между остановочными пунктами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>
        <w:trPr/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автомобилизации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авт. на 1000 жителей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</w:tr>
    </w:tbl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spacing w:lineRule="atLeast" w:line="17"/>
        <w:ind w:firstLine="709" w:right="1274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Heading1"/>
        <w:spacing w:before="120" w:after="120"/>
        <w:ind w:firstLine="709"/>
        <w:jc w:val="center"/>
        <w:rPr>
          <w:color w:val="000000"/>
          <w:sz w:val="24"/>
          <w:szCs w:val="24"/>
        </w:rPr>
      </w:pPr>
      <w:r>
        <w:rPr>
          <w:rFonts w:cs="Times New Roman" w:ascii="Times New Roman" w:hAnsi="Times New Roman"/>
          <w:bCs w:val="false"/>
          <w:color w:val="000000"/>
          <w:sz w:val="24"/>
          <w:szCs w:val="24"/>
        </w:rPr>
        <w:t xml:space="preserve">Значения показателей максимально допустимого уровня территориальной доступности объектов местного значения территории </w:t>
      </w:r>
    </w:p>
    <w:tbl>
      <w:tblPr>
        <w:tblW w:w="5000" w:type="pct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73"/>
        <w:gridCol w:w="2001"/>
        <w:gridCol w:w="2137"/>
        <w:gridCol w:w="2609"/>
      </w:tblGrid>
      <w:tr>
        <w:trPr>
          <w:tblHeader w:val="true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вида ОМЗ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расчетного показателя ОМЗ, единица измерения</w:t>
            </w:r>
          </w:p>
        </w:tc>
        <w:tc>
          <w:tcPr>
            <w:tcW w:w="4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Предельное значение расчетного показателя максимально допустимого уровня территориальной доступности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ОМЗ</w:t>
            </w:r>
          </w:p>
        </w:tc>
      </w:tr>
      <w:tr>
        <w:trPr/>
        <w:tc>
          <w:tcPr>
            <w:tcW w:w="9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lang w:val="en-US"/>
              </w:rPr>
            </w:pPr>
            <w:r>
              <w:rPr>
                <w:b/>
              </w:rPr>
              <w:t>В области образования</w:t>
            </w:r>
          </w:p>
        </w:tc>
      </w:tr>
      <w:tr>
        <w:trPr>
          <w:trHeight w:val="380" w:hRule="atLeast"/>
        </w:trPr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Организации дополнительного образования</w:t>
            </w:r>
          </w:p>
        </w:tc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территориальной доступности для населения, м / минут</w:t>
            </w:r>
          </w:p>
        </w:tc>
        <w:tc>
          <w:tcPr>
            <w:tcW w:w="4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Пешеходная доступность:</w:t>
            </w:r>
          </w:p>
        </w:tc>
      </w:tr>
      <w:tr>
        <w:trPr>
          <w:trHeight w:val="380" w:hRule="atLeast"/>
        </w:trPr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300 м / 5 минут</w:t>
            </w:r>
          </w:p>
        </w:tc>
      </w:tr>
      <w:tr>
        <w:trPr/>
        <w:tc>
          <w:tcPr>
            <w:tcW w:w="9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В области автомобильных дорог местного значения, дорожной деятельности, транспортного обслуживания</w:t>
            </w:r>
          </w:p>
        </w:tc>
      </w:tr>
      <w:tr>
        <w:trPr>
          <w:trHeight w:val="470" w:hRule="atLeast"/>
        </w:trPr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Автомобильные дороги местного значения в границах городского поселения</w:t>
            </w:r>
          </w:p>
        </w:tc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Дальность пешеходных подходов до ближайшей остановки общественного пассажирского транспорта, м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жилой застройке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>
        <w:trPr/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0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общегородском центре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250 от объектов массового посещения</w:t>
            </w:r>
          </w:p>
        </w:tc>
      </w:tr>
      <w:tr>
        <w:trPr/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0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зонах массового отдыха и спорта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>
        <w:trPr>
          <w:trHeight w:val="2064" w:hRule="atLeast"/>
        </w:trPr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0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районах индивидуальной жилой застройки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600 при устройстве пунктов обогрева людей</w:t>
            </w:r>
          </w:p>
        </w:tc>
      </w:tr>
      <w:tr>
        <w:trPr>
          <w:trHeight w:val="70" w:hRule="atLeast"/>
        </w:trPr>
        <w:tc>
          <w:tcPr>
            <w:tcW w:w="9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spacing w:before="0" w:after="0"/>
              <w:ind w:hanging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Иные виды объектов в иных областях в связи с решением вопросов местного значения</w:t>
            </w:r>
          </w:p>
        </w:tc>
      </w:tr>
      <w:tr>
        <w:trPr>
          <w:trHeight w:val="239" w:hRule="atLeast"/>
        </w:trPr>
        <w:tc>
          <w:tcPr>
            <w:tcW w:w="9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области благоустройства (озеленения) территории</w:t>
            </w:r>
          </w:p>
        </w:tc>
      </w:tr>
      <w:tr>
        <w:trPr>
          <w:trHeight w:val="233" w:hRule="atLeast"/>
        </w:trPr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Объекты озеленения общего пользования</w:t>
            </w:r>
          </w:p>
        </w:tc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Уровень территориальной доступности для населения, мин., м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для парков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 более 20 мин. на общественном транспорте (без учета времени ожидания транспорта);</w:t>
            </w:r>
          </w:p>
        </w:tc>
      </w:tr>
      <w:tr>
        <w:trPr>
          <w:trHeight w:val="233" w:hRule="atLeast"/>
        </w:trPr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20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для парков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 более 15 мин. (время пешеходной доступности) или не более 900 м</w:t>
            </w:r>
          </w:p>
        </w:tc>
      </w:tr>
      <w:tr>
        <w:trPr>
          <w:trHeight w:val="115" w:hRule="atLeast"/>
        </w:trPr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20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для садов, скверов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 более 10 мин. (время пешеходной доступности) или не более 600 м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5"/>
      <w:type w:val="nextPage"/>
      <w:pgSz w:w="11906" w:h="16838"/>
      <w:pgMar w:left="1134" w:right="851" w:gutter="0" w:header="720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libri Light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85672738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6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33e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qFormat/>
    <w:rsid w:val="00672003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 w:customStyle="1">
    <w:name w:val="Heading 2"/>
    <w:basedOn w:val="Normal"/>
    <w:next w:val="Normal"/>
    <w:link w:val="2"/>
    <w:uiPriority w:val="99"/>
    <w:qFormat/>
    <w:rsid w:val="00d33ece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Heading3" w:customStyle="1">
    <w:name w:val="Heading 3"/>
    <w:basedOn w:val="Normal"/>
    <w:next w:val="Normal"/>
    <w:qFormat/>
    <w:rsid w:val="00672003"/>
    <w:pPr>
      <w:keepNext w:val="true"/>
      <w:outlineLvl w:val="2"/>
    </w:pPr>
    <w:rPr>
      <w:rFonts w:ascii="Arial" w:hAnsi="Arial" w:cs="Arial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uiPriority w:val="9"/>
    <w:qFormat/>
    <w:rsid w:val="00ad4914"/>
    <w:rPr>
      <w:rFonts w:ascii="Calibri Light" w:hAnsi="Calibri Light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ad4914"/>
    <w:rPr>
      <w:sz w:val="20"/>
      <w:szCs w:val="20"/>
    </w:rPr>
  </w:style>
  <w:style w:type="character" w:styleId="Pagenumber">
    <w:name w:val="page number"/>
    <w:basedOn w:val="DefaultParagraphFont"/>
    <w:uiPriority w:val="99"/>
    <w:qFormat/>
    <w:rsid w:val="00d33ece"/>
    <w:rPr/>
  </w:style>
  <w:style w:type="character" w:styleId="Style12" w:customStyle="1">
    <w:name w:val="Нижний колонтитул Знак"/>
    <w:basedOn w:val="DefaultParagraphFont"/>
    <w:uiPriority w:val="99"/>
    <w:semiHidden/>
    <w:qFormat/>
    <w:rsid w:val="00ad4914"/>
    <w:rPr>
      <w:sz w:val="20"/>
      <w:szCs w:val="20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be5d71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link w:val="111"/>
    <w:uiPriority w:val="99"/>
    <w:qFormat/>
    <w:rsid w:val="002120a1"/>
    <w:rPr>
      <w:b/>
      <w:bCs/>
      <w:sz w:val="28"/>
      <w:szCs w:val="28"/>
      <w:lang w:eastAsia="en-US"/>
    </w:rPr>
  </w:style>
  <w:style w:type="character" w:styleId="Style14" w:customStyle="1">
    <w:name w:val="Основной текст Знак"/>
    <w:basedOn w:val="DefaultParagraphFont"/>
    <w:qFormat/>
    <w:rsid w:val="008049d2"/>
    <w:rPr>
      <w:rFonts w:cs="Calibri"/>
      <w:sz w:val="24"/>
      <w:szCs w:val="24"/>
      <w:lang w:eastAsia="ar-SA"/>
    </w:rPr>
  </w:style>
  <w:style w:type="character" w:styleId="11" w:customStyle="1">
    <w:name w:val="Основной текст Знак1"/>
    <w:basedOn w:val="DefaultParagraphFont"/>
    <w:uiPriority w:val="99"/>
    <w:semiHidden/>
    <w:qFormat/>
    <w:rsid w:val="008049d2"/>
    <w:rPr>
      <w:sz w:val="20"/>
      <w:szCs w:val="20"/>
    </w:rPr>
  </w:style>
  <w:style w:type="character" w:styleId="Style15" w:customStyle="1">
    <w:name w:val="Символ нумерации"/>
    <w:qFormat/>
    <w:rsid w:val="003f7aaf"/>
    <w:rPr/>
  </w:style>
  <w:style w:type="character" w:styleId="Hyperlink">
    <w:name w:val="Hyperlink"/>
    <w:rsid w:val="003f7aaf"/>
    <w:rPr>
      <w:color w:val="000080"/>
      <w:u w:val="single"/>
    </w:rPr>
  </w:style>
  <w:style w:type="paragraph" w:styleId="Style16" w:customStyle="1">
    <w:name w:val="Заголовок"/>
    <w:basedOn w:val="Normal"/>
    <w:next w:val="BodyText"/>
    <w:qFormat/>
    <w:rsid w:val="003f7aaf"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link w:val="Style14"/>
    <w:rsid w:val="008049d2"/>
    <w:pPr>
      <w:spacing w:before="0" w:after="120"/>
    </w:pPr>
    <w:rPr>
      <w:rFonts w:cs="Calibri"/>
      <w:sz w:val="24"/>
      <w:szCs w:val="24"/>
      <w:lang w:eastAsia="ar-SA"/>
    </w:rPr>
  </w:style>
  <w:style w:type="paragraph" w:styleId="List">
    <w:name w:val="List"/>
    <w:basedOn w:val="BodyText"/>
    <w:rsid w:val="003f7aaf"/>
    <w:pPr/>
    <w:rPr>
      <w:rFonts w:cs="Lohit Devanagari"/>
    </w:rPr>
  </w:style>
  <w:style w:type="paragraph" w:styleId="Caption" w:customStyle="1">
    <w:name w:val="Caption"/>
    <w:basedOn w:val="Normal"/>
    <w:qFormat/>
    <w:rsid w:val="003f7aa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3f7aaf"/>
    <w:pPr>
      <w:suppressLineNumbers/>
    </w:pPr>
    <w:rPr>
      <w:rFonts w:cs="Lohit Devanagari"/>
    </w:rPr>
  </w:style>
  <w:style w:type="paragraph" w:styleId="Style18" w:customStyle="1">
    <w:name w:val="Колонтитул"/>
    <w:basedOn w:val="Normal"/>
    <w:qFormat/>
    <w:rsid w:val="003f7aaf"/>
    <w:pPr/>
    <w:rPr/>
  </w:style>
  <w:style w:type="paragraph" w:styleId="Header" w:customStyle="1">
    <w:name w:val="Header"/>
    <w:basedOn w:val="Normal"/>
    <w:link w:val="Style11"/>
    <w:uiPriority w:val="99"/>
    <w:rsid w:val="00d33ec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 w:customStyle="1">
    <w:name w:val="Footer"/>
    <w:basedOn w:val="Normal"/>
    <w:link w:val="Style12"/>
    <w:uiPriority w:val="99"/>
    <w:rsid w:val="00d33ec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be5d71"/>
    <w:pPr/>
    <w:rPr>
      <w:rFonts w:ascii="Tahoma" w:hAnsi="Tahoma" w:cs="Tahoma"/>
      <w:sz w:val="16"/>
      <w:szCs w:val="16"/>
    </w:rPr>
  </w:style>
  <w:style w:type="paragraph" w:styleId="ConsNormal" w:customStyle="1">
    <w:name w:val="ConsNormal"/>
    <w:uiPriority w:val="99"/>
    <w:qFormat/>
    <w:rsid w:val="00de7e3b"/>
    <w:pPr>
      <w:widowControl/>
      <w:suppressAutoHyphens w:val="true"/>
      <w:bidi w:val="0"/>
      <w:spacing w:before="0" w:after="0"/>
      <w:ind w:firstLine="720" w:right="19772"/>
      <w:jc w:val="both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11" w:customStyle="1">
    <w:name w:val="Заголовок 11"/>
    <w:basedOn w:val="Normal"/>
    <w:next w:val="Normal"/>
    <w:link w:val="1"/>
    <w:uiPriority w:val="1"/>
    <w:qFormat/>
    <w:rsid w:val="002120a1"/>
    <w:pPr>
      <w:widowControl w:val="false"/>
      <w:ind w:left="399"/>
      <w:outlineLvl w:val="1"/>
    </w:pPr>
    <w:rPr>
      <w:b/>
      <w:bCs/>
      <w:sz w:val="28"/>
      <w:szCs w:val="28"/>
      <w:lang w:eastAsia="en-US"/>
    </w:rPr>
  </w:style>
  <w:style w:type="paragraph" w:styleId="21" w:customStyle="1">
    <w:name w:val="Заголовок 21"/>
    <w:basedOn w:val="Normal"/>
    <w:next w:val="Normal"/>
    <w:uiPriority w:val="9"/>
    <w:unhideWhenUsed/>
    <w:qFormat/>
    <w:rsid w:val="002120a1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sz w:val="26"/>
      <w:szCs w:val="26"/>
    </w:rPr>
  </w:style>
  <w:style w:type="paragraph" w:styleId="Style19" w:customStyle="1">
    <w:name w:val="Содержимое таблицы"/>
    <w:basedOn w:val="Normal"/>
    <w:qFormat/>
    <w:rsid w:val="003f7aaf"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rsid w:val="003f7aaf"/>
    <w:pPr>
      <w:jc w:val="center"/>
    </w:pPr>
    <w:rPr>
      <w:b/>
      <w:bCs/>
    </w:rPr>
  </w:style>
  <w:style w:type="paragraph" w:styleId="Default" w:customStyle="1">
    <w:name w:val="Default"/>
    <w:qFormat/>
    <w:rsid w:val="004e380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0" w:customStyle="1">
    <w:name w:val="Табличный_слева_10"/>
    <w:basedOn w:val="Normal"/>
    <w:qFormat/>
    <w:rsid w:val="00672003"/>
    <w:pPr/>
    <w:rPr/>
  </w:style>
  <w:style w:type="paragraph" w:styleId="101" w:customStyle="1">
    <w:name w:val="Табличный_по ширине_10"/>
    <w:basedOn w:val="Normal"/>
    <w:qFormat/>
    <w:rsid w:val="00672003"/>
    <w:pPr>
      <w:jc w:val="both"/>
    </w:pPr>
    <w:rPr/>
  </w:style>
  <w:style w:type="paragraph" w:styleId="Style21" w:customStyle="1">
    <w:name w:val="Абзац"/>
    <w:basedOn w:val="Normal"/>
    <w:qFormat/>
    <w:rsid w:val="00672003"/>
    <w:pPr>
      <w:spacing w:before="120" w:after="60"/>
      <w:ind w:firstLine="567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rsid w:val="00d622a1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 Normal_0"/>
    <w:uiPriority w:val="2"/>
    <w:semiHidden/>
    <w:unhideWhenUsed/>
    <w:qFormat/>
    <w:rsid w:val="00624d95"/>
    <w:rPr>
      <w:rFonts w:asciiTheme="minorHAnsi" w:hAnsiTheme="minorHAnsi" w:eastAsia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image" Target="media/image2.png"/><Relationship Id="rId5" Type="http://schemas.openxmlformats.org/officeDocument/2006/relationships/header" Target="head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35FB0-2F18-4FD5-BDA4-85CAA7E1B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Application>LibreOffice/7.6.7.2$Linux_X86_64 LibreOffice_project/60$Build-2</Application>
  <AppVersion>15.0000</AppVersion>
  <Pages>12</Pages>
  <Words>1808</Words>
  <Characters>13457</Characters>
  <CharactersWithSpaces>15036</CharactersWithSpaces>
  <Paragraphs>353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2024-10-23T11:51:00Z</dcterms:created>
  <dc:creator>Makarevskiy_SA</dc:creator>
  <dc:description/>
  <dc:language>ru-RU</dc:language>
  <cp:lastModifiedBy/>
  <cp:lastPrinted>2026-10-09T09:33:00Z</cp:lastPrinted>
  <dcterms:modified xsi:type="dcterms:W3CDTF">2026-10-13T10:37:28Z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