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40" w:rsidRPr="00290640" w:rsidRDefault="00290640" w:rsidP="002906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Courier New" w:eastAsia="Times New Roman" w:hAnsi="Courier New" w:cs="Courier New"/>
          <w:b/>
          <w:sz w:val="28"/>
          <w:szCs w:val="28"/>
          <w:lang w:eastAsia="ru-RU"/>
        </w:rPr>
        <w:tab/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290640" w:rsidRPr="00290640" w:rsidRDefault="00290640" w:rsidP="0029064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Отдела по культуре, </w:t>
      </w:r>
    </w:p>
    <w:p w:rsidR="00290640" w:rsidRPr="00290640" w:rsidRDefault="00290640" w:rsidP="00290640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туризму и спорту Администрации</w:t>
      </w:r>
    </w:p>
    <w:p w:rsidR="00290640" w:rsidRPr="00290640" w:rsidRDefault="00290640" w:rsidP="00290640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90640" w:rsidRPr="00290640" w:rsidRDefault="00290640" w:rsidP="00290640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«Дорогобужский район»</w:t>
      </w:r>
    </w:p>
    <w:p w:rsidR="00290640" w:rsidRPr="00290640" w:rsidRDefault="00290640" w:rsidP="002906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Смоленской области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Default="00290640" w:rsidP="002906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 "___" ___________ № ___</w:t>
      </w:r>
    </w:p>
    <w:p w:rsidR="00FA5A37" w:rsidRDefault="00FA5A37" w:rsidP="002906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A5A37" w:rsidRPr="00290640" w:rsidRDefault="00FA5A37" w:rsidP="00290640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 xml:space="preserve">Ведомственная целевая программа </w:t>
      </w: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 xml:space="preserve">«Обеспечение устойчивого функционирования и развития культурно-досуговых учреждений в муниципальном образовании «Дорогобужский район» Смоленской области </w:t>
      </w: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 период с 01.01.2012г. по 31.12.201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290640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»</w:t>
      </w: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Default="00290640" w:rsidP="0029064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Default="00290640" w:rsidP="0029064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г. Дорогобуж</w:t>
      </w:r>
    </w:p>
    <w:p w:rsid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201</w:t>
      </w:r>
      <w:r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>1</w:t>
      </w:r>
      <w:r w:rsidRPr="00290640">
        <w:rPr>
          <w:rFonts w:ascii="Times New Roman" w:eastAsia="Times New Roman" w:hAnsi="Times New Roman" w:cs="Times New Roman"/>
          <w:b/>
          <w:sz w:val="30"/>
          <w:szCs w:val="24"/>
          <w:lang w:eastAsia="ar-SA"/>
        </w:rPr>
        <w:t xml:space="preserve"> г.</w:t>
      </w:r>
    </w:p>
    <w:p w:rsidR="00FA5A37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ПАСПОРТ </w:t>
      </w:r>
    </w:p>
    <w:p w:rsidR="00290640" w:rsidRPr="00290640" w:rsidRDefault="00290640" w:rsidP="00290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ВЕДОМСТВЕННОЙ ЦЕЛЕВОЙ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783"/>
      </w:tblGrid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субъекта бюджетного планирования «Дорогобужский район» Смоленской области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Отдел по культуре, туризму и спорту Администрации муниципального образования «Дорогобужский район» Смоленской области (далее – Отдел по культуре, туризму и спорту МО «Дорогобужский район»)</w:t>
            </w:r>
          </w:p>
        </w:tc>
      </w:tr>
      <w:tr w:rsidR="00290640" w:rsidRPr="00290640" w:rsidTr="00191BAE">
        <w:trPr>
          <w:trHeight w:val="1890"/>
        </w:trPr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 ведомственной целевой программы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«Обеспечение устойчивого функционирования и развития культурно-досуговых учреждений в муниципальном образовании «Дорогобужский район» Смоленской области на период с  01.01.2012г. по 31.12.201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года» </w:t>
            </w:r>
          </w:p>
        </w:tc>
      </w:tr>
      <w:tr w:rsidR="00290640" w:rsidRPr="00290640" w:rsidTr="00191BAE">
        <w:trPr>
          <w:trHeight w:val="345"/>
        </w:trPr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Реквизиты приказа субъекта бюджетного планирования Смоленской области об утверждении ведомственной целевой программы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Отдел по культуре, туризму и спорту муниципального образования «Дорогобужский район» Смоленской области</w:t>
            </w:r>
          </w:p>
          <w:p w:rsidR="00290640" w:rsidRPr="00290640" w:rsidRDefault="00290640" w:rsidP="002906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«____»____________ 2011г. 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№ _______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 ведомственной целевой программы, значения показателей цели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Цель: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обеспечение стабильного  функционирования культурно-досуговых учреждений муниципального образования «Дорогобужский район» Смоленской области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Значения показателей цели: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стабильное функционирование 100% культурно-досуговых учреждений </w:t>
            </w: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Задачи, значения показателей задач ведомственной целевой программы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Задачи:</w:t>
            </w:r>
          </w:p>
          <w:p w:rsidR="00290640" w:rsidRPr="00290640" w:rsidRDefault="00290640" w:rsidP="002906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создание конкурентно-способной материально-технической базы учреждений культуры;</w:t>
            </w:r>
          </w:p>
          <w:p w:rsidR="00290640" w:rsidRPr="00290640" w:rsidRDefault="00290640" w:rsidP="00290640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активизация творческого потенциала творческих коллективов;</w:t>
            </w:r>
          </w:p>
          <w:p w:rsidR="00290640" w:rsidRPr="00290640" w:rsidRDefault="00290640" w:rsidP="00290640">
            <w:pPr>
              <w:numPr>
                <w:ilvl w:val="0"/>
                <w:numId w:val="1"/>
              </w:numPr>
              <w:tabs>
                <w:tab w:val="left" w:pos="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расширение системы музыкального абонементного обслуживания всех категорий населения, уделив особое внимание работе с детьми и молодежью;</w:t>
            </w:r>
          </w:p>
          <w:p w:rsidR="00290640" w:rsidRPr="00290640" w:rsidRDefault="00290640" w:rsidP="002906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способствование широкому 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показу достижений самодеятельного и любительского искусства Дорогобужского района, как в пределах района, так и посредством участия творческих коллективов в престижных международных, всероссийских, региональных, областных конкурсах и фестивалях.</w:t>
            </w:r>
          </w:p>
          <w:p w:rsidR="00290640" w:rsidRPr="00290640" w:rsidRDefault="00290640" w:rsidP="0029064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поддержка и развитие творчества в культурно-досуговых учреждениях на селе.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Значения показателей задач:</w:t>
            </w:r>
          </w:p>
          <w:p w:rsidR="00290640" w:rsidRPr="00290640" w:rsidRDefault="00290640" w:rsidP="002906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Pr="00290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граждан, посетивших спектакли, концерты, культурно-досуговые мероприятия  на 10%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 Увеличение количества проведенных спектаклей, концертов, культурно-досуговых мероприятий на 10%: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из них для детей до 14 лет на </w:t>
            </w:r>
            <w:r w:rsidR="002E34E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 Увеличение  выездных (в том числе на село) мероприятий на 10 %.</w:t>
            </w: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Характеристика программных мероприятий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Программные мероприятия направлены на создание условий для стабильного функционирования культурно-досуговых учреждений:</w:t>
            </w:r>
          </w:p>
          <w:p w:rsidR="00290640" w:rsidRPr="00290640" w:rsidRDefault="00290640" w:rsidP="002906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деятельность клубных формирований;</w:t>
            </w:r>
          </w:p>
          <w:p w:rsidR="00290640" w:rsidRPr="00290640" w:rsidRDefault="00290640" w:rsidP="002906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проведение культурно-зрелищных, выставочных и культурно-массовых мероприятий;</w:t>
            </w:r>
          </w:p>
          <w:p w:rsidR="00290640" w:rsidRPr="00290640" w:rsidRDefault="00290640" w:rsidP="0029064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консультативная, методическая организационно-творческая помощь.</w:t>
            </w: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Сроки реализации ведомственной целевой программы (достижения показателей цели)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01.01.2012г</w:t>
            </w:r>
            <w:r w:rsidR="001E23C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 31.12.201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года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4783" w:type="dxa"/>
            <w:shd w:val="clear" w:color="auto" w:fill="auto"/>
          </w:tcPr>
          <w:p w:rsidR="00290640" w:rsidRDefault="00290640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ведомственной целевой программы соста</w:t>
            </w:r>
            <w:bookmarkStart w:id="0" w:name="_GoBack"/>
            <w:bookmarkEnd w:id="0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вляет </w:t>
            </w:r>
            <w:r w:rsidR="0057229C" w:rsidRPr="00572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42 9</w:t>
            </w:r>
            <w:r w:rsid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7</w:t>
            </w:r>
            <w:r w:rsidR="0057229C" w:rsidRPr="00572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0</w:t>
            </w:r>
            <w:r w:rsid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 </w:t>
            </w:r>
            <w:r w:rsidR="0057229C" w:rsidRPr="0057229C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>900</w:t>
            </w:r>
            <w:r w:rsid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руб</w:t>
            </w:r>
            <w:r w:rsidR="00245D2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. в т. ч. 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средства бюджета – 41 920 900 руб. 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средства – 10 500 руб. из них:</w:t>
            </w:r>
          </w:p>
          <w:p w:rsidR="00245D22" w:rsidRP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на 2012 год – 16 317 700 руб. в т. ч.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средства бюджета – 15 967 700 руб.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средства – 350 000 руб.</w:t>
            </w:r>
          </w:p>
          <w:p w:rsidR="00245D22" w:rsidRP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2013 год – 13 152 500 руб. в т. ч. 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– 12 802 500 руб.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средства – 350 000 руб.</w:t>
            </w:r>
          </w:p>
          <w:p w:rsidR="00245D22" w:rsidRP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245D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на 2014 год – 13 500 700 руб. в т. ч. </w:t>
            </w:r>
          </w:p>
          <w:p w:rsidR="00245D22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средства бюджета – 13 150 700 руб.</w:t>
            </w:r>
          </w:p>
          <w:p w:rsidR="00245D22" w:rsidRPr="00290640" w:rsidRDefault="00245D22" w:rsidP="00245D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внебюджетные средства – 350 000 руб.</w:t>
            </w:r>
          </w:p>
        </w:tc>
      </w:tr>
      <w:tr w:rsidR="00290640" w:rsidRPr="00290640" w:rsidTr="00191BAE">
        <w:tc>
          <w:tcPr>
            <w:tcW w:w="5637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Адрес размещения ведомственной целевой программы  в сети «Интернет» </w:t>
            </w:r>
          </w:p>
        </w:tc>
        <w:tc>
          <w:tcPr>
            <w:tcW w:w="478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http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:/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admin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smolensk</w:t>
            </w:r>
            <w:proofErr w:type="spellEnd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  <w:proofErr w:type="spellStart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ru</w:t>
            </w:r>
            <w:proofErr w:type="spellEnd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/~</w:t>
            </w:r>
            <w:proofErr w:type="spellStart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dorogob</w:t>
            </w:r>
            <w:proofErr w:type="spellEnd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</w:p>
        </w:tc>
      </w:tr>
    </w:tbl>
    <w:p w:rsidR="00290640" w:rsidRPr="00290640" w:rsidRDefault="00290640" w:rsidP="00290640">
      <w:pPr>
        <w:keepNext/>
        <w:pageBreakBefore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 xml:space="preserve">Раздел 1. </w:t>
      </w:r>
      <w:r w:rsidRPr="0029064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Характеристика проблемы, решение которых осуществляется </w:t>
      </w:r>
    </w:p>
    <w:p w:rsidR="00290640" w:rsidRPr="00290640" w:rsidRDefault="00290640" w:rsidP="00290640">
      <w:pPr>
        <w:keepNext/>
        <w:spacing w:after="0" w:line="264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путем реализации ведомственной целевой программы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90640" w:rsidRPr="00290640" w:rsidRDefault="00290640" w:rsidP="0029064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Основным направлением деятельности в культурно-досуговой сфере является сохранение социокультурных функций клубных учреждений Дорогобужского района, культурного потенциала района. </w:t>
      </w:r>
    </w:p>
    <w:p w:rsidR="00290640" w:rsidRPr="00290640" w:rsidRDefault="00290640" w:rsidP="00290640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Наиболее полное удовлетворение роста потребительского спроса на культурную продукцию творческих коллективов может быть осуществлено посредством финансовой поддержки новых постановок, концертных программ, мероприятий, обеспечения разнообразия творческих предложений.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Система программных мероприятий по развитию самодеятельного и любительского искусства создаст дополнительные возможности для развития различных видов, жанров и направлений искусства, активизации культурного обмена и повышения уровня доступности искусства для населения района.</w:t>
      </w:r>
    </w:p>
    <w:p w:rsidR="00290640" w:rsidRPr="00290640" w:rsidRDefault="00290640" w:rsidP="002906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В настоящее время в ведении МУК «</w:t>
      </w:r>
      <w:proofErr w:type="gramStart"/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Дорогобужская</w:t>
      </w:r>
      <w:proofErr w:type="gramEnd"/>
      <w:r w:rsidR="004B180F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РЦКС» находятся 16 культурно</w:t>
      </w:r>
      <w:r w:rsidR="00F22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-</w:t>
      </w:r>
      <w:r w:rsidR="00F22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досуговых учреждений (подразделений).</w:t>
      </w:r>
    </w:p>
    <w:p w:rsidR="00290640" w:rsidRPr="00290640" w:rsidRDefault="00290640" w:rsidP="002906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pacing w:val="2"/>
          <w:sz w:val="28"/>
          <w:szCs w:val="28"/>
          <w:lang w:eastAsia="ar-SA"/>
        </w:rPr>
        <w:t>По состоянию на 01.11.2011 в выше перечисленных организациях работает 101 человек</w:t>
      </w: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. 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ab/>
        <w:t xml:space="preserve">Особое внимание в работе клубных формирований направлено на патриотическое, </w:t>
      </w:r>
      <w:proofErr w:type="spellStart"/>
      <w:r w:rsidRPr="002906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социокультурное</w:t>
      </w:r>
      <w:proofErr w:type="spellEnd"/>
      <w:r w:rsidRPr="002906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, духовное, национальное, этническое воспитание населения. На территории района развиваются все жанры народного творчества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2906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В учреждениях культурно – досугового типа </w:t>
      </w:r>
      <w:r w:rsidRPr="0029064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МУК «Дорогобужская РЦКС»</w:t>
      </w:r>
      <w:r w:rsidR="00F22680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</w:t>
      </w:r>
      <w:r w:rsidRPr="00290640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функционирует116 клубных формирований, в них занимается 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967 участников, из которых – 7 коллективов самодеятельного творчества носят звание «Народный» (Народный театр (две группы), </w:t>
      </w:r>
      <w:proofErr w:type="spell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агиткультбригада</w:t>
      </w:r>
      <w:proofErr w:type="spell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«Поиск», хор русской песни им. Анисимова А. А., вокальная группа «</w:t>
      </w:r>
      <w:proofErr w:type="spell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Ивушка</w:t>
      </w:r>
      <w:proofErr w:type="spell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», вокальная группа «Надежда», танцевальный коллектив «Калинка»,  ансамбль народной песни «</w:t>
      </w:r>
      <w:proofErr w:type="spell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Белояр</w:t>
      </w:r>
      <w:proofErr w:type="spell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», театральный коллектив «</w:t>
      </w:r>
      <w:proofErr w:type="spell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Сатирикон</w:t>
      </w:r>
      <w:proofErr w:type="spell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») и звание «Образцовый» – детский фольклорный коллектив</w:t>
      </w:r>
      <w:proofErr w:type="gram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«Капелька».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Ежегодно МУК «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Дорогобужская</w:t>
      </w:r>
      <w:proofErr w:type="gramEnd"/>
      <w:r w:rsidR="008D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РЦКС» проводиться около 2 165 - общегородских и сельских массовых мероприятий: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Красные даты календаря (Новый год, День Защитника Отечества, Международный женский День, День Победы и т</w:t>
      </w:r>
      <w:r w:rsidR="00F22680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д.);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Рождество, «Масленица», в ночь на Ивана Купалу;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Митинги, посвященные памятным датам, День призывника (весна, осень), мероприятия, посвященные битве у села </w:t>
      </w:r>
      <w:proofErr w:type="spell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Ведрош</w:t>
      </w:r>
      <w:proofErr w:type="spell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День молодежи, День города, День матери, День театра, День независимости России, День семьи, любви и верности, День защиты детей;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Творческие вечера (отчетные концерты) народных коллективов;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Выездные концертные мероприятия в сельских домах досуга;</w:t>
      </w:r>
    </w:p>
    <w:p w:rsidR="00290640" w:rsidRPr="00290640" w:rsidRDefault="00290640" w:rsidP="0029064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 и принятие участия в фестивалях и конкурсах регионального, областного и районного значения («Дорогобужская звезда», «Ретро-песня» и т</w:t>
      </w:r>
      <w:r w:rsidR="004B180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д.)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Центральный Дом досуга в 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. Дорогобуж осуществляют кинообслуживание населения.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сегодняшний день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очевидно, что сфера культурно-досуговой деятельности требует модернизации. Решение существующих проблем возможно при условии 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разработки комплекса мероприятий, направленных на устранение причин, тормозящих развитие и совершенствование данной деятельности.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Одной из важнейших составляющих осуществления культурной политики является финансирование учреждений культуры. В условиях ограниченности бюджета особенно актуальным остается программно-целевой метод финансирования культурной деятельности.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данный момент особо важным остается сохранение и развитие самодеятельного народного творчества, развитие 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профессионального искусства. Дома культуры, в частности сельские, являясь средой формирования культурных ценностей, по причине крайне неудовлетворительного состояния материальной базы, отсутствия высококвалифицированных специалистов художественной направленности, оборудованных концертных площадок и транспорта не достигают поставленной перед ними задачи.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Несмотря на то, что 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8D37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МУК</w:t>
      </w:r>
      <w:proofErr w:type="gram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«Дорогобужская РЦКС» имеется значительный творческий потенциал, проделана определенная работа по воспроизводству народных традиций, из-за недостаточного финансирования сферы культуры, этот механизм функционирует слабо.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модернизация, творческое и технологическое совершенствование учреждений клубного типа, повышение роли культуры в обеспечении досуга жителей муниципального образования «Дорогобужский район» Смоленской области является прямым следствием экономических и политических преобразований. Реализация настоящей Программы позволит обеспечить выполнение мероприятий по достижению экономических эффектов, позволяющих учреждениям культурно-досуговой деятельности стабильно развиваться и быть конкурентоспособными активно развивающемуся бизнесу на рынке досуговых услуг.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Программный метод управления организацией досуга населения в муниципальном образовании «Дорогобужский район» осуществляется в целях повышения результативности и эффективности расходования бюджетных средств. Выработанные ведомственной целевой программой цели, задачи и программные мероприятия направлены на сохранение устойчивого функционирования учреждений культурно-досугового типа, на сохранение достигнутых в деятельности культурно-досуговых учреждений позиций, их кадрового и творческого потенциала. Программа адекватна целям и задачам социально-экономического развития муниципального образования, ориентирована на деятельность в сфере досуга с достижением конкретных результатов на основе эффективного использования бюджетных средств. Применение программного метода финансирования культурно-досуговых учреждений на период с  01.01.2012г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31.12.201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обеспечит уставную деятельность и нацелит на достижение социально-значимых результатов. </w:t>
      </w: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Раздел 2. Цели и задачи ведомственной целевой программы, измеряемые количественные показатели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</w:pPr>
    </w:p>
    <w:p w:rsidR="00290640" w:rsidRPr="00290640" w:rsidRDefault="00290640" w:rsidP="00290640">
      <w:pPr>
        <w:keepNext/>
        <w:spacing w:after="0" w:line="264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Цель ведомственной целевой программы:</w:t>
      </w:r>
    </w:p>
    <w:p w:rsidR="00290640" w:rsidRPr="00290640" w:rsidRDefault="008D37CF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="00290640" w:rsidRPr="00290640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Обеспечение стабильного функционирования культурно</w:t>
      </w:r>
      <w:r w:rsidR="00F2268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90640" w:rsidRPr="00290640">
        <w:rPr>
          <w:rFonts w:ascii="Times New Roman" w:eastAsia="Times New Roman" w:hAnsi="Times New Roman" w:cs="Times New Roman"/>
          <w:sz w:val="28"/>
          <w:szCs w:val="24"/>
          <w:lang w:eastAsia="ar-SA"/>
        </w:rPr>
        <w:t>-</w:t>
      </w:r>
      <w:r w:rsidR="00F2268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290640" w:rsidRPr="00290640">
        <w:rPr>
          <w:rFonts w:ascii="Times New Roman" w:eastAsia="Times New Roman" w:hAnsi="Times New Roman" w:cs="Times New Roman"/>
          <w:sz w:val="28"/>
          <w:szCs w:val="24"/>
          <w:lang w:eastAsia="ar-SA"/>
        </w:rPr>
        <w:t>досуговых учреждений муниципального образования «Дорогобужский район» Смоленской области.</w:t>
      </w:r>
    </w:p>
    <w:p w:rsidR="00290640" w:rsidRPr="00290640" w:rsidRDefault="008D37CF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Значения показателей цели:</w:t>
      </w:r>
    </w:p>
    <w:p w:rsidR="00290640" w:rsidRPr="00290640" w:rsidRDefault="008D37CF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стабильное функционирование 100% культурно</w:t>
      </w:r>
      <w:r w:rsidR="00F22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F226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досуговых учреждений. </w:t>
      </w:r>
    </w:p>
    <w:p w:rsidR="00290640" w:rsidRPr="00290640" w:rsidRDefault="00290640" w:rsidP="0029064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Задачи ведомственной целевой программы: </w:t>
      </w:r>
    </w:p>
    <w:p w:rsidR="00290640" w:rsidRPr="00290640" w:rsidRDefault="00290640" w:rsidP="00290640">
      <w:pPr>
        <w:numPr>
          <w:ilvl w:val="0"/>
          <w:numId w:val="1"/>
        </w:numPr>
        <w:tabs>
          <w:tab w:val="num" w:pos="0"/>
          <w:tab w:val="left" w:pos="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конкурентно-способной материально-технической базы учреждений культуры;</w:t>
      </w:r>
    </w:p>
    <w:p w:rsidR="00290640" w:rsidRPr="00290640" w:rsidRDefault="00290640" w:rsidP="00290640">
      <w:pPr>
        <w:numPr>
          <w:ilvl w:val="0"/>
          <w:numId w:val="1"/>
        </w:numPr>
        <w:tabs>
          <w:tab w:val="num" w:pos="0"/>
          <w:tab w:val="left" w:pos="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активизация творческого потенциала ведущих творческих коллективов;</w:t>
      </w:r>
    </w:p>
    <w:p w:rsidR="00290640" w:rsidRPr="00290640" w:rsidRDefault="00290640" w:rsidP="00290640">
      <w:pPr>
        <w:numPr>
          <w:ilvl w:val="0"/>
          <w:numId w:val="1"/>
        </w:numPr>
        <w:tabs>
          <w:tab w:val="num" w:pos="0"/>
          <w:tab w:val="left" w:pos="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расширение системы музыкального абонементного обслуживания всех категорий населения, уделив особое внимание работе с детьми и молодежью;</w:t>
      </w:r>
    </w:p>
    <w:p w:rsidR="00290640" w:rsidRPr="00290640" w:rsidRDefault="00290640" w:rsidP="0029064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способствование широкому показу достижений самодеятельного и любительского искусства Дорогобужского района, как в пределах района, так и посредством участия творческих коллективов в престижных международных, всероссийских, региональных, областных конкурсах и фестивалях;</w:t>
      </w:r>
    </w:p>
    <w:p w:rsidR="00290640" w:rsidRPr="00290640" w:rsidRDefault="00290640" w:rsidP="00290640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поддержка и развитие творчества в культурно-досуговых учреждениях на селе.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Значения показателей задач: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4793"/>
        <w:gridCol w:w="1471"/>
        <w:gridCol w:w="1188"/>
        <w:gridCol w:w="1276"/>
        <w:gridCol w:w="1134"/>
      </w:tblGrid>
      <w:tr w:rsidR="00290640" w:rsidRPr="00290640" w:rsidTr="00290640">
        <w:tc>
          <w:tcPr>
            <w:tcW w:w="594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79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471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188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2012г.</w:t>
            </w:r>
          </w:p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2013г.</w:t>
            </w:r>
          </w:p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2014 г.</w:t>
            </w:r>
          </w:p>
        </w:tc>
      </w:tr>
      <w:tr w:rsidR="00290640" w:rsidRPr="00290640" w:rsidTr="00290640">
        <w:tc>
          <w:tcPr>
            <w:tcW w:w="594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79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числа граждан, посетивших спектакли, концерты, культурно-досуговые мероприятия</w:t>
            </w:r>
          </w:p>
        </w:tc>
        <w:tc>
          <w:tcPr>
            <w:tcW w:w="1471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4" w:type="dxa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290640" w:rsidRPr="00290640" w:rsidTr="00290640">
        <w:tc>
          <w:tcPr>
            <w:tcW w:w="594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793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количества проведенных спектаклей, концертов, культурно-досуговых мероприятий: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из них для детей до 14 лет;</w:t>
            </w:r>
          </w:p>
          <w:p w:rsidR="00290640" w:rsidRPr="00290640" w:rsidRDefault="00290640" w:rsidP="002906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71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1188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134" w:type="dxa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</w:tbl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увеличение  выездных (в том числе на село) мероприятий на период с 01.01.2012г. по 31.12.201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на 10 %.</w:t>
      </w: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Методика оценки эффективности и реализации ведомственной целевой </w:t>
      </w: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программы</w:t>
      </w:r>
    </w:p>
    <w:p w:rsidR="00290640" w:rsidRPr="00290640" w:rsidRDefault="00290640" w:rsidP="0029064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считается успешно реализованной, если мероприятия, включенные в нее, выполнены в объеме не менее 90%. Результат выполнения программы может быть признан отличным также в случае незначительного снижения целевых показателей, вызванного обстоятельствами, не зависящими от исполнителя.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2730"/>
        <w:gridCol w:w="1482"/>
        <w:gridCol w:w="1421"/>
      </w:tblGrid>
      <w:tr w:rsidR="00290640" w:rsidRPr="00290640" w:rsidTr="00191BAE">
        <w:tc>
          <w:tcPr>
            <w:tcW w:w="4788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730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70-80%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80-90%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90-100%</w:t>
            </w:r>
          </w:p>
        </w:tc>
      </w:tr>
      <w:tr w:rsidR="00290640" w:rsidRPr="00290640" w:rsidTr="00191BAE">
        <w:trPr>
          <w:trHeight w:val="70"/>
        </w:trPr>
        <w:tc>
          <w:tcPr>
            <w:tcW w:w="4788" w:type="dxa"/>
            <w:shd w:val="clear" w:color="auto" w:fill="auto"/>
          </w:tcPr>
          <w:p w:rsidR="00290640" w:rsidRPr="00290640" w:rsidRDefault="00290640" w:rsidP="0029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Уровень выполнения программных мероприятий, достижения количественных показателей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удовлетворительный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</w:t>
            </w: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ороший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290640" w:rsidRPr="00290640" w:rsidRDefault="00290640" w:rsidP="0029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9064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отличный</w:t>
            </w:r>
          </w:p>
        </w:tc>
      </w:tr>
    </w:tbl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0640" w:rsidRPr="00290640" w:rsidRDefault="00290640" w:rsidP="008D3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3</w:t>
      </w: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программных мероприятий</w:t>
      </w:r>
    </w:p>
    <w:p w:rsidR="00290640" w:rsidRPr="00290640" w:rsidRDefault="008D37CF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программных мероприятий представлен в Приложении к ведомственной целевой программе «Обеспечение устойчивого функционирования и развития культурно-досуговых учреждений в муниципальном образовании «Дорогобужский район» Смоленской области на период с 01.01.2012г. по 31.12.201</w:t>
      </w:r>
      <w:r w:rsid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90640"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года»</w:t>
      </w:r>
    </w:p>
    <w:p w:rsidR="00290640" w:rsidRPr="00290640" w:rsidRDefault="00290640" w:rsidP="0029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90640" w:rsidRPr="00290640" w:rsidRDefault="00290640" w:rsidP="0029064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Раздел 4. Система управления реализацией Программы</w:t>
      </w:r>
    </w:p>
    <w:p w:rsidR="00290640" w:rsidRPr="00290640" w:rsidRDefault="00290640" w:rsidP="00290640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 по культуре, туризму и спорту муниципального образования «Дорогобужский район» Смоленской области, который является субъектом бюджетного планирования и главным распорядителем бюджетных средств осуществляет: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Программы, мониторинг выполнения системы программных мероприятий;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координацию деятельности исполнителей на основе периодической отчетности для обеспечения их согласованных действий;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proofErr w:type="gramStart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рациональным использованием исполнителями выделяемых финансовых средств;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– работу по корректировке Программы на основании результатов работы за год;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– подготовку и представление в установленном порядке сводной бюджетной заявки на ассигнование мероприятий Программы на очередной финансовый год.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Руководитель отдела по культуре, туризму и спорту МО «Дорогобужский район несет ответственность за реализацию и конечные результаты Программы, рациональное использование выделенных на ее реализацию финансовых средств.</w:t>
      </w:r>
    </w:p>
    <w:p w:rsidR="00290640" w:rsidRPr="00290640" w:rsidRDefault="00290640" w:rsidP="00290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 о реализации ведомственной целевой программы предоставляется и рассматривается в составе доклада о результатах и основных направлениях деятельности в сфере культуры.</w:t>
      </w:r>
    </w:p>
    <w:p w:rsidR="00290640" w:rsidRPr="00290640" w:rsidRDefault="00290640" w:rsidP="002906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064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случае недофинансирования (при сокращении фактического финансирования на тот или иной процент) Отдел по культуре, туризму и спорту МО «Дорогобужский район» и МУК «Дорогобужский район» обязуется выполнить только часть ведомственной целевой программы (и это отразится в показателях результативности).</w:t>
      </w: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Default="00290640" w:rsidP="002906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p w:rsidR="00290640" w:rsidRPr="00290640" w:rsidRDefault="00290640" w:rsidP="0029064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eastAsia="ar-SA"/>
        </w:rPr>
      </w:pPr>
    </w:p>
    <w:sectPr w:rsidR="00290640" w:rsidRPr="00290640" w:rsidSect="002906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50EC"/>
    <w:multiLevelType w:val="hybridMultilevel"/>
    <w:tmpl w:val="74AEDBD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C7440"/>
    <w:multiLevelType w:val="hybridMultilevel"/>
    <w:tmpl w:val="EC841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2B3070"/>
    <w:multiLevelType w:val="hybridMultilevel"/>
    <w:tmpl w:val="3606DF38"/>
    <w:lvl w:ilvl="0" w:tplc="0419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3">
    <w:nsid w:val="65826812"/>
    <w:multiLevelType w:val="hybridMultilevel"/>
    <w:tmpl w:val="7C2628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BCA"/>
    <w:rsid w:val="00087927"/>
    <w:rsid w:val="00172BCA"/>
    <w:rsid w:val="001A5444"/>
    <w:rsid w:val="001E23C6"/>
    <w:rsid w:val="00245D22"/>
    <w:rsid w:val="00290640"/>
    <w:rsid w:val="002E34ED"/>
    <w:rsid w:val="003801EC"/>
    <w:rsid w:val="004A6790"/>
    <w:rsid w:val="004B180F"/>
    <w:rsid w:val="0057229C"/>
    <w:rsid w:val="007C30CC"/>
    <w:rsid w:val="008B7DB3"/>
    <w:rsid w:val="008D37CF"/>
    <w:rsid w:val="00C20B80"/>
    <w:rsid w:val="00CD5BC6"/>
    <w:rsid w:val="00F1173E"/>
    <w:rsid w:val="00F22680"/>
    <w:rsid w:val="00FA5A37"/>
    <w:rsid w:val="00FE1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4CAA0-984D-4292-A139-84DF973E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 </cp:lastModifiedBy>
  <cp:revision>12</cp:revision>
  <cp:lastPrinted>2012-07-13T05:34:00Z</cp:lastPrinted>
  <dcterms:created xsi:type="dcterms:W3CDTF">2012-06-14T10:54:00Z</dcterms:created>
  <dcterms:modified xsi:type="dcterms:W3CDTF">2012-08-22T07:02:00Z</dcterms:modified>
</cp:coreProperties>
</file>