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D" w:rsidRDefault="00EC679D" w:rsidP="00EC679D">
      <w:pPr>
        <w:pStyle w:val="a5"/>
        <w:jc w:val="right"/>
        <w:rPr>
          <w:rFonts w:ascii="Times New Roman" w:hAnsi="Times New Roman" w:cs="Times New Roman"/>
          <w:i w:val="0"/>
          <w:sz w:val="20"/>
          <w:szCs w:val="20"/>
          <w:u w:val="single"/>
        </w:rPr>
      </w:pPr>
      <w:r w:rsidRPr="00DF523E">
        <w:rPr>
          <w:rFonts w:ascii="Times New Roman" w:hAnsi="Times New Roman" w:cs="Times New Roman"/>
          <w:i w:val="0"/>
          <w:sz w:val="20"/>
          <w:szCs w:val="20"/>
        </w:rPr>
        <w:t>Приложение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к письму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№  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               _</w:t>
      </w:r>
    </w:p>
    <w:p w:rsidR="00EC679D" w:rsidRDefault="00EC679D" w:rsidP="00EC679D">
      <w:pPr>
        <w:pStyle w:val="a3"/>
      </w:pPr>
    </w:p>
    <w:p w:rsidR="00EC679D" w:rsidRPr="00F07EDF" w:rsidRDefault="00EC679D" w:rsidP="00EC679D">
      <w:pPr>
        <w:jc w:val="right"/>
      </w:pPr>
      <w: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C679D" w:rsidTr="00AF7FCE">
        <w:tc>
          <w:tcPr>
            <w:tcW w:w="10421" w:type="dxa"/>
            <w:shd w:val="clear" w:color="auto" w:fill="auto"/>
          </w:tcPr>
          <w:p w:rsidR="00EC679D" w:rsidRDefault="00EC679D" w:rsidP="00AF7FCE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6" o:title=""/>
                </v:shape>
                <o:OLEObject Type="Embed" ProgID="Word.Picture.8" ShapeID="_x0000_i1025" DrawAspect="Content" ObjectID="_1767167293" r:id="rId7"/>
              </w:object>
            </w:r>
          </w:p>
        </w:tc>
      </w:tr>
      <w:tr w:rsidR="00EC679D" w:rsidTr="00AF7FCE">
        <w:trPr>
          <w:trHeight w:val="1155"/>
        </w:trPr>
        <w:tc>
          <w:tcPr>
            <w:tcW w:w="10421" w:type="dxa"/>
            <w:shd w:val="clear" w:color="auto" w:fill="auto"/>
          </w:tcPr>
          <w:p w:rsidR="00EC679D" w:rsidRDefault="00EC679D" w:rsidP="00AF7FCE">
            <w:pPr>
              <w:pStyle w:val="1"/>
              <w:snapToGrid w:val="0"/>
              <w:ind w:right="-828"/>
              <w:rPr>
                <w:b w:val="0"/>
                <w:sz w:val="16"/>
              </w:rPr>
            </w:pPr>
          </w:p>
          <w:p w:rsidR="00EC679D" w:rsidRDefault="00EC679D" w:rsidP="00AF7FCE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sz w:val="24"/>
              </w:rPr>
              <w:t>АДМИНИСТРАЦИЯ МУНИЦИПАЛЬНОГО ОБРАЗОВАНИЯ</w:t>
            </w:r>
          </w:p>
          <w:p w:rsidR="00EC679D" w:rsidRDefault="00EC679D" w:rsidP="00AF7FCE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sz w:val="24"/>
              </w:rPr>
              <w:t>«ДОРОГОБУЖСКИЙ РАЙОН» СМОЛЕНСКОЙ ОБЛАСТИ</w:t>
            </w:r>
          </w:p>
          <w:p w:rsidR="00EC679D" w:rsidRDefault="00EC679D" w:rsidP="00AF7FCE">
            <w:pPr>
              <w:pStyle w:val="2"/>
              <w:jc w:val="left"/>
              <w:rPr>
                <w:b w:val="0"/>
                <w:sz w:val="24"/>
              </w:rPr>
            </w:pPr>
          </w:p>
          <w:p w:rsidR="00EC679D" w:rsidRPr="00365464" w:rsidRDefault="00EC679D" w:rsidP="00AF7FC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EC679D" w:rsidRPr="00485453" w:rsidTr="00AF7FCE">
        <w:tc>
          <w:tcPr>
            <w:tcW w:w="10421" w:type="dxa"/>
            <w:shd w:val="clear" w:color="auto" w:fill="auto"/>
          </w:tcPr>
          <w:p w:rsidR="00EC679D" w:rsidRPr="00485453" w:rsidRDefault="00EC679D" w:rsidP="00AF7FCE">
            <w:pPr>
              <w:snapToGrid w:val="0"/>
              <w:rPr>
                <w:sz w:val="26"/>
                <w:szCs w:val="26"/>
              </w:rPr>
            </w:pPr>
          </w:p>
          <w:p w:rsidR="00EC679D" w:rsidRPr="00485453" w:rsidRDefault="00EC679D" w:rsidP="00AF7FCE">
            <w:pPr>
              <w:rPr>
                <w:sz w:val="26"/>
                <w:szCs w:val="26"/>
              </w:rPr>
            </w:pPr>
          </w:p>
          <w:p w:rsidR="00EC679D" w:rsidRPr="00485453" w:rsidRDefault="00EC679D" w:rsidP="00AF7FCE">
            <w:pPr>
              <w:rPr>
                <w:sz w:val="26"/>
                <w:szCs w:val="26"/>
                <w:u w:val="single"/>
              </w:rPr>
            </w:pPr>
            <w:r w:rsidRPr="0048545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____________</w:t>
            </w:r>
            <w:r w:rsidRPr="00485453">
              <w:rPr>
                <w:sz w:val="26"/>
                <w:szCs w:val="26"/>
              </w:rPr>
              <w:t xml:space="preserve"> №</w:t>
            </w:r>
            <w:r w:rsidRPr="00485453">
              <w:rPr>
                <w:sz w:val="26"/>
                <w:szCs w:val="26"/>
                <w:u w:val="single"/>
              </w:rPr>
              <w:t>__________</w:t>
            </w:r>
          </w:p>
        </w:tc>
      </w:tr>
    </w:tbl>
    <w:p w:rsidR="00EC679D" w:rsidRDefault="00EC679D" w:rsidP="00EC679D">
      <w:pPr>
        <w:ind w:right="5717"/>
        <w:rPr>
          <w:sz w:val="26"/>
          <w:szCs w:val="26"/>
        </w:rPr>
      </w:pPr>
    </w:p>
    <w:p w:rsidR="00EC679D" w:rsidRPr="00404495" w:rsidRDefault="00EC679D" w:rsidP="00EC679D">
      <w:pPr>
        <w:ind w:right="57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4044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</w:t>
      </w:r>
      <w:r w:rsidRPr="00404495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404495">
        <w:rPr>
          <w:sz w:val="26"/>
          <w:szCs w:val="26"/>
        </w:rPr>
        <w:t xml:space="preserve">равила землепользования и застройки </w:t>
      </w:r>
      <w:r>
        <w:rPr>
          <w:sz w:val="26"/>
          <w:szCs w:val="26"/>
        </w:rPr>
        <w:t>Михайловского</w:t>
      </w:r>
      <w:r w:rsidRPr="00404495">
        <w:rPr>
          <w:sz w:val="26"/>
          <w:szCs w:val="26"/>
        </w:rPr>
        <w:t xml:space="preserve"> сельского </w:t>
      </w:r>
      <w:proofErr w:type="gramStart"/>
      <w:r w:rsidRPr="00404495">
        <w:rPr>
          <w:sz w:val="26"/>
          <w:szCs w:val="26"/>
        </w:rPr>
        <w:t>поселения Дорогобужского района Смоленской области Дорогобужского района Смоленской области</w:t>
      </w:r>
      <w:proofErr w:type="gramEnd"/>
      <w:r w:rsidRPr="00404495">
        <w:rPr>
          <w:sz w:val="26"/>
          <w:szCs w:val="26"/>
        </w:rPr>
        <w:tab/>
      </w:r>
    </w:p>
    <w:p w:rsidR="00EC679D" w:rsidRPr="00404495" w:rsidRDefault="00EC679D" w:rsidP="00EC679D">
      <w:pPr>
        <w:rPr>
          <w:sz w:val="26"/>
          <w:szCs w:val="26"/>
        </w:rPr>
      </w:pPr>
    </w:p>
    <w:p w:rsidR="00EC679D" w:rsidRPr="00404495" w:rsidRDefault="00EC679D" w:rsidP="00EC679D">
      <w:pPr>
        <w:rPr>
          <w:sz w:val="26"/>
          <w:szCs w:val="26"/>
        </w:rPr>
      </w:pPr>
    </w:p>
    <w:p w:rsidR="00EC679D" w:rsidRDefault="00EC679D" w:rsidP="00EC679D">
      <w:pPr>
        <w:ind w:firstLine="708"/>
        <w:jc w:val="both"/>
        <w:rPr>
          <w:sz w:val="26"/>
          <w:szCs w:val="26"/>
        </w:rPr>
      </w:pPr>
      <w:proofErr w:type="gramStart"/>
      <w:r w:rsidRPr="00404495">
        <w:rPr>
          <w:sz w:val="26"/>
          <w:szCs w:val="26"/>
        </w:rPr>
        <w:t>Руководствуясь статьями</w:t>
      </w:r>
      <w:r>
        <w:rPr>
          <w:sz w:val="26"/>
          <w:szCs w:val="26"/>
        </w:rPr>
        <w:t xml:space="preserve"> </w:t>
      </w:r>
      <w:r w:rsidRPr="00404495">
        <w:rPr>
          <w:sz w:val="26"/>
          <w:szCs w:val="26"/>
        </w:rPr>
        <w:t>32</w:t>
      </w:r>
      <w:r>
        <w:rPr>
          <w:sz w:val="26"/>
          <w:szCs w:val="26"/>
        </w:rPr>
        <w:t>, 33</w:t>
      </w:r>
      <w:r w:rsidRPr="00404495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</w:t>
      </w:r>
      <w:r>
        <w:rPr>
          <w:sz w:val="26"/>
          <w:szCs w:val="26"/>
        </w:rPr>
        <w:t>в Российской Федерации», законами</w:t>
      </w:r>
      <w:r w:rsidRPr="00404495">
        <w:rPr>
          <w:sz w:val="26"/>
          <w:szCs w:val="26"/>
        </w:rPr>
        <w:t xml:space="preserve"> Смоленской области от 30.10.2014 № 141-з «О закреплении за сельскими поселениями Смоленской области отдельных вопросов местного значения», </w:t>
      </w:r>
      <w:r>
        <w:rPr>
          <w:sz w:val="26"/>
          <w:szCs w:val="26"/>
        </w:rPr>
        <w:t xml:space="preserve">от 30.04.2021 № 37-з «О градостроительной деятельности на территории Смоленской области», </w:t>
      </w:r>
      <w:r w:rsidRPr="00404495">
        <w:rPr>
          <w:sz w:val="26"/>
          <w:szCs w:val="26"/>
        </w:rPr>
        <w:t>ст. 7 Устава муниципального образования «Дорогобужский район» Смоленской</w:t>
      </w:r>
      <w:proofErr w:type="gramEnd"/>
      <w:r w:rsidRPr="00404495">
        <w:rPr>
          <w:sz w:val="26"/>
          <w:szCs w:val="26"/>
        </w:rPr>
        <w:t xml:space="preserve"> области, </w:t>
      </w:r>
      <w:r>
        <w:rPr>
          <w:sz w:val="26"/>
          <w:szCs w:val="26"/>
        </w:rPr>
        <w:t>учитывая протокол публичных слушаний</w:t>
      </w:r>
    </w:p>
    <w:p w:rsidR="00EC679D" w:rsidRDefault="00EC679D" w:rsidP="00EC679D">
      <w:pPr>
        <w:spacing w:line="216" w:lineRule="auto"/>
        <w:ind w:firstLine="708"/>
        <w:rPr>
          <w:sz w:val="26"/>
          <w:szCs w:val="26"/>
        </w:rPr>
      </w:pPr>
    </w:p>
    <w:p w:rsidR="00EC679D" w:rsidRPr="00B3096E" w:rsidRDefault="00EC679D" w:rsidP="00EC679D">
      <w:pPr>
        <w:spacing w:line="216" w:lineRule="auto"/>
        <w:ind w:firstLine="708"/>
        <w:rPr>
          <w:sz w:val="26"/>
          <w:szCs w:val="26"/>
        </w:rPr>
      </w:pPr>
      <w:r w:rsidRPr="004321E6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 </w:t>
      </w:r>
      <w:r w:rsidRPr="004321E6">
        <w:rPr>
          <w:spacing w:val="40"/>
          <w:sz w:val="26"/>
          <w:szCs w:val="26"/>
        </w:rPr>
        <w:t>постановляет</w:t>
      </w:r>
      <w:r w:rsidRPr="004321E6">
        <w:rPr>
          <w:sz w:val="26"/>
          <w:szCs w:val="26"/>
        </w:rPr>
        <w:t>:</w:t>
      </w:r>
    </w:p>
    <w:p w:rsidR="00EC679D" w:rsidRPr="00404495" w:rsidRDefault="00EC679D" w:rsidP="00EC679D">
      <w:pPr>
        <w:jc w:val="center"/>
        <w:rPr>
          <w:b/>
          <w:sz w:val="26"/>
          <w:szCs w:val="26"/>
        </w:rPr>
      </w:pPr>
    </w:p>
    <w:p w:rsidR="00EC679D" w:rsidRDefault="00EC679D" w:rsidP="00EC679D">
      <w:pPr>
        <w:jc w:val="both"/>
        <w:rPr>
          <w:sz w:val="26"/>
          <w:szCs w:val="26"/>
        </w:rPr>
      </w:pPr>
      <w:r w:rsidRPr="00404495">
        <w:rPr>
          <w:sz w:val="26"/>
          <w:szCs w:val="26"/>
        </w:rPr>
        <w:t xml:space="preserve"> 1. </w:t>
      </w:r>
      <w:r>
        <w:rPr>
          <w:color w:val="000000"/>
          <w:sz w:val="26"/>
          <w:szCs w:val="26"/>
        </w:rPr>
        <w:t>Внести</w:t>
      </w:r>
      <w:r w:rsidRPr="0040449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rStyle w:val="30"/>
          <w:sz w:val="26"/>
          <w:szCs w:val="26"/>
        </w:rPr>
        <w:t>главу</w:t>
      </w:r>
      <w:r w:rsidRPr="00CC5F25">
        <w:rPr>
          <w:rStyle w:val="30"/>
          <w:sz w:val="26"/>
          <w:szCs w:val="26"/>
        </w:rPr>
        <w:t xml:space="preserve"> 2 «Градостроительные регламенты» части </w:t>
      </w:r>
      <w:r w:rsidRPr="00CC5F25">
        <w:rPr>
          <w:rStyle w:val="30"/>
          <w:sz w:val="26"/>
          <w:szCs w:val="26"/>
          <w:lang w:val="en-US"/>
        </w:rPr>
        <w:t>II</w:t>
      </w:r>
      <w:r w:rsidRPr="00CC5F25">
        <w:rPr>
          <w:rStyle w:val="30"/>
          <w:sz w:val="26"/>
          <w:szCs w:val="26"/>
        </w:rPr>
        <w:t xml:space="preserve"> «Градостроительные регламенты»</w:t>
      </w:r>
      <w:r>
        <w:rPr>
          <w:sz w:val="26"/>
          <w:szCs w:val="26"/>
        </w:rPr>
        <w:t xml:space="preserve"> правил</w:t>
      </w:r>
      <w:r w:rsidRPr="00404495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 xml:space="preserve">Михайловского </w:t>
      </w:r>
      <w:r w:rsidRPr="00404495">
        <w:rPr>
          <w:sz w:val="26"/>
          <w:szCs w:val="26"/>
        </w:rPr>
        <w:t xml:space="preserve">сельского поселения Дорогобужского района </w:t>
      </w:r>
      <w:r>
        <w:rPr>
          <w:sz w:val="26"/>
          <w:szCs w:val="26"/>
        </w:rPr>
        <w:t>Смоленской области, утвержденных</w:t>
      </w:r>
      <w:r w:rsidRPr="00404495">
        <w:rPr>
          <w:sz w:val="26"/>
          <w:szCs w:val="26"/>
        </w:rPr>
        <w:t xml:space="preserve"> решением</w:t>
      </w:r>
      <w:r>
        <w:rPr>
          <w:sz w:val="26"/>
          <w:szCs w:val="26"/>
        </w:rPr>
        <w:t xml:space="preserve"> Дорогобужской районной Думы от</w:t>
      </w:r>
      <w:r w:rsidRPr="00404495">
        <w:rPr>
          <w:sz w:val="26"/>
          <w:szCs w:val="26"/>
        </w:rPr>
        <w:t xml:space="preserve"> </w:t>
      </w:r>
      <w:r>
        <w:rPr>
          <w:sz w:val="26"/>
          <w:szCs w:val="26"/>
        </w:rPr>
        <w:t>27.03.2019 № 20</w:t>
      </w:r>
      <w:r w:rsidRPr="00404495">
        <w:rPr>
          <w:sz w:val="26"/>
          <w:szCs w:val="26"/>
        </w:rPr>
        <w:t xml:space="preserve">  «Об утверждении генерального плана и правил землепользования и застройки </w:t>
      </w:r>
      <w:r>
        <w:rPr>
          <w:sz w:val="26"/>
          <w:szCs w:val="26"/>
        </w:rPr>
        <w:t xml:space="preserve">Михайловского </w:t>
      </w:r>
      <w:r w:rsidRPr="00404495">
        <w:rPr>
          <w:sz w:val="26"/>
          <w:szCs w:val="26"/>
        </w:rPr>
        <w:t>сельского поселения Дорогобужс</w:t>
      </w:r>
      <w:r>
        <w:rPr>
          <w:sz w:val="26"/>
          <w:szCs w:val="26"/>
        </w:rPr>
        <w:t>кого района Смоленской области»,</w:t>
      </w:r>
      <w:r w:rsidRPr="008371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следующие</w:t>
      </w:r>
      <w:r w:rsidRPr="0040449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EC679D" w:rsidRPr="00A549CE" w:rsidRDefault="00EC679D" w:rsidP="00EC67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 Статью</w:t>
      </w:r>
      <w:r w:rsidRPr="00CC5F2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32</w:t>
      </w:r>
      <w:r w:rsidRPr="00CC5F25">
        <w:rPr>
          <w:bCs/>
          <w:sz w:val="26"/>
          <w:szCs w:val="26"/>
        </w:rPr>
        <w:t xml:space="preserve">  «</w:t>
      </w:r>
      <w:r>
        <w:rPr>
          <w:bCs/>
          <w:sz w:val="26"/>
          <w:szCs w:val="26"/>
        </w:rPr>
        <w:t>Состав и кодировка территориальных зон</w:t>
      </w:r>
      <w:r w:rsidRPr="00CC5F25">
        <w:rPr>
          <w:bCs/>
          <w:sz w:val="26"/>
          <w:szCs w:val="26"/>
        </w:rPr>
        <w:t xml:space="preserve">» </w:t>
      </w:r>
      <w:r w:rsidRPr="00A549CE">
        <w:rPr>
          <w:bCs/>
          <w:sz w:val="26"/>
          <w:szCs w:val="26"/>
        </w:rPr>
        <w:t>изложить в следующей редакции:</w:t>
      </w:r>
    </w:p>
    <w:p w:rsidR="00EC679D" w:rsidRPr="00F07EDF" w:rsidRDefault="00EC679D" w:rsidP="00EC679D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F07EDF">
        <w:rPr>
          <w:rStyle w:val="30"/>
          <w:color w:val="auto"/>
          <w:sz w:val="26"/>
          <w:szCs w:val="26"/>
        </w:rPr>
        <w:t>«</w:t>
      </w:r>
      <w:r w:rsidRPr="00F07EDF">
        <w:rPr>
          <w:rFonts w:ascii="Times New Roman" w:hAnsi="Times New Roman"/>
          <w:b w:val="0"/>
          <w:i w:val="0"/>
          <w:color w:val="auto"/>
          <w:sz w:val="26"/>
          <w:szCs w:val="26"/>
        </w:rPr>
        <w:t>Статья 32. Состав и кодировка территориальных зон</w:t>
      </w:r>
    </w:p>
    <w:p w:rsidR="00EC679D" w:rsidRPr="00FA2D2D" w:rsidRDefault="00EC679D" w:rsidP="00EC679D">
      <w:pPr>
        <w:jc w:val="both"/>
        <w:rPr>
          <w:sz w:val="26"/>
          <w:szCs w:val="26"/>
        </w:rPr>
      </w:pPr>
      <w:r w:rsidRPr="00FA2D2D">
        <w:rPr>
          <w:sz w:val="26"/>
          <w:szCs w:val="26"/>
        </w:rPr>
        <w:t>Зонирование для целей регулирования использования территории поселения выполнено в соответствии со статьями 30-40 Градостроительного кодекса РФ.</w:t>
      </w:r>
    </w:p>
    <w:p w:rsidR="00EC679D" w:rsidRPr="00FA2D2D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Состав и кодировка территориальных зон в границах населенных пунктов:</w:t>
      </w:r>
    </w:p>
    <w:p w:rsidR="00EC679D" w:rsidRPr="00FA2D2D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lastRenderedPageBreak/>
        <w:t>Жилые зоны: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застройки индивидуальными жилыми домами – Ж.1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Ново-Михайловское, д. </w:t>
      </w:r>
      <w:proofErr w:type="spellStart"/>
      <w:r w:rsidRPr="000B2514">
        <w:rPr>
          <w:sz w:val="26"/>
          <w:szCs w:val="26"/>
        </w:rPr>
        <w:t>Абрамово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Бабаедо</w:t>
      </w:r>
      <w:r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r w:rsidRPr="000B2514">
        <w:rPr>
          <w:sz w:val="26"/>
          <w:szCs w:val="26"/>
        </w:rPr>
        <w:t xml:space="preserve">Болдино, д. </w:t>
      </w:r>
      <w:proofErr w:type="spellStart"/>
      <w:r w:rsidRPr="000B2514">
        <w:rPr>
          <w:sz w:val="26"/>
          <w:szCs w:val="26"/>
        </w:rPr>
        <w:t>Борздилово</w:t>
      </w:r>
      <w:proofErr w:type="spellEnd"/>
      <w:r w:rsidRPr="000B2514">
        <w:rPr>
          <w:sz w:val="26"/>
          <w:szCs w:val="26"/>
        </w:rPr>
        <w:t xml:space="preserve">, д. Будка железной дороги 21 км, д. Василисино, </w:t>
      </w:r>
      <w:r>
        <w:rPr>
          <w:sz w:val="26"/>
          <w:szCs w:val="26"/>
        </w:rPr>
        <w:t>д. Васино, д.</w:t>
      </w:r>
      <w:r w:rsidR="00403E4C">
        <w:rPr>
          <w:sz w:val="26"/>
          <w:szCs w:val="26"/>
        </w:rPr>
        <w:t xml:space="preserve"> </w:t>
      </w:r>
      <w:r w:rsidRPr="000B2514">
        <w:rPr>
          <w:sz w:val="26"/>
          <w:szCs w:val="26"/>
        </w:rPr>
        <w:t xml:space="preserve">Вороново, д. Городок, д. Деревенщики, д. </w:t>
      </w:r>
      <w:proofErr w:type="spellStart"/>
      <w:r w:rsidRPr="000B2514">
        <w:rPr>
          <w:sz w:val="26"/>
          <w:szCs w:val="26"/>
        </w:rPr>
        <w:t>Егорьево</w:t>
      </w:r>
      <w:proofErr w:type="spellEnd"/>
      <w:r w:rsidRPr="000B25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Елисеенки</w:t>
      </w:r>
      <w:proofErr w:type="spellEnd"/>
      <w:r>
        <w:rPr>
          <w:sz w:val="26"/>
          <w:szCs w:val="26"/>
        </w:rPr>
        <w:t xml:space="preserve">, д. Ивановское, </w:t>
      </w:r>
      <w:r w:rsidR="00403E4C">
        <w:rPr>
          <w:sz w:val="26"/>
          <w:szCs w:val="26"/>
        </w:rPr>
        <w:t xml:space="preserve">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proofErr w:type="spellStart"/>
      <w:r w:rsidRPr="000B2514">
        <w:rPr>
          <w:sz w:val="26"/>
          <w:szCs w:val="26"/>
        </w:rPr>
        <w:t>Ивонино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Карачарово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Клешники</w:t>
      </w:r>
      <w:proofErr w:type="spellEnd"/>
      <w:r w:rsidRPr="000B2514">
        <w:rPr>
          <w:sz w:val="26"/>
          <w:szCs w:val="26"/>
        </w:rPr>
        <w:t>, д. Кузнецо</w:t>
      </w:r>
      <w:r>
        <w:rPr>
          <w:sz w:val="26"/>
          <w:szCs w:val="26"/>
        </w:rPr>
        <w:t xml:space="preserve">во, д. </w:t>
      </w:r>
      <w:proofErr w:type="spellStart"/>
      <w:r>
        <w:rPr>
          <w:sz w:val="26"/>
          <w:szCs w:val="26"/>
        </w:rPr>
        <w:t>Лелявино</w:t>
      </w:r>
      <w:proofErr w:type="spellEnd"/>
      <w:r>
        <w:rPr>
          <w:sz w:val="26"/>
          <w:szCs w:val="26"/>
        </w:rPr>
        <w:t xml:space="preserve">, д. Ленкино, </w:t>
      </w:r>
      <w:r w:rsidR="00403E4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proofErr w:type="spellStart"/>
      <w:r w:rsidRPr="000B2514">
        <w:rPr>
          <w:sz w:val="26"/>
          <w:szCs w:val="26"/>
        </w:rPr>
        <w:t>Леоньково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Мамыркино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Мартынково</w:t>
      </w:r>
      <w:proofErr w:type="spellEnd"/>
      <w:r w:rsidRPr="000B25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Милоселье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Молодилово</w:t>
      </w:r>
      <w:proofErr w:type="spellEnd"/>
      <w:r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r w:rsidRPr="000B2514">
        <w:rPr>
          <w:sz w:val="26"/>
          <w:szCs w:val="26"/>
        </w:rPr>
        <w:t>Никулино</w:t>
      </w:r>
      <w:proofErr w:type="gramEnd"/>
      <w:r w:rsidRPr="000B2514">
        <w:rPr>
          <w:sz w:val="26"/>
          <w:szCs w:val="26"/>
        </w:rPr>
        <w:t xml:space="preserve">, д. Новый Двор,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Полижакино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Прос</w:t>
      </w:r>
      <w:r>
        <w:rPr>
          <w:sz w:val="26"/>
          <w:szCs w:val="26"/>
        </w:rPr>
        <w:t>лище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Роги</w:t>
      </w:r>
      <w:proofErr w:type="spellEnd"/>
      <w:r>
        <w:rPr>
          <w:sz w:val="26"/>
          <w:szCs w:val="26"/>
        </w:rPr>
        <w:t>, д.</w:t>
      </w:r>
      <w:r w:rsidR="00403E4C">
        <w:rPr>
          <w:sz w:val="26"/>
          <w:szCs w:val="26"/>
        </w:rPr>
        <w:t xml:space="preserve"> </w:t>
      </w:r>
      <w:r w:rsidRPr="000B2514">
        <w:rPr>
          <w:sz w:val="26"/>
          <w:szCs w:val="26"/>
        </w:rPr>
        <w:t xml:space="preserve">Рязань, д. Садовая, д. </w:t>
      </w:r>
      <w:proofErr w:type="spellStart"/>
      <w:r w:rsidRPr="000B2514">
        <w:rPr>
          <w:sz w:val="26"/>
          <w:szCs w:val="26"/>
        </w:rPr>
        <w:t>Самцово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Селюшки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Славков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Соколово</w:t>
      </w:r>
      <w:proofErr w:type="spellEnd"/>
      <w:r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Ставково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</w:t>
      </w:r>
      <w:r w:rsidRPr="000B2514">
        <w:rPr>
          <w:sz w:val="26"/>
          <w:szCs w:val="26"/>
        </w:rPr>
        <w:t>С</w:t>
      </w:r>
      <w:proofErr w:type="gramEnd"/>
      <w:r w:rsidRPr="000B2514">
        <w:rPr>
          <w:sz w:val="26"/>
          <w:szCs w:val="26"/>
        </w:rPr>
        <w:t>труково</w:t>
      </w:r>
      <w:proofErr w:type="spellEnd"/>
      <w:r w:rsidRPr="000B2514">
        <w:rPr>
          <w:sz w:val="26"/>
          <w:szCs w:val="26"/>
        </w:rPr>
        <w:t xml:space="preserve">, д. Филино,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Щербинино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;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застройки малоэтажными жилыми домами (до 4 этажей, включая </w:t>
      </w:r>
      <w:proofErr w:type="gramStart"/>
      <w:r w:rsidRPr="000B2514">
        <w:rPr>
          <w:sz w:val="26"/>
          <w:szCs w:val="26"/>
        </w:rPr>
        <w:t>мансардный</w:t>
      </w:r>
      <w:proofErr w:type="gramEnd"/>
      <w:r w:rsidRPr="000B2514">
        <w:rPr>
          <w:sz w:val="26"/>
          <w:szCs w:val="26"/>
        </w:rPr>
        <w:t xml:space="preserve">) - Ж.2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д. Садовая,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смешанной и общественно-деловой застройки - СОД в границах населенного пункта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>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Общественно-деловые зоны: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Многофункциональная общественно-деловая зона - О.1 в границах населенного пункта д. </w:t>
      </w:r>
      <w:proofErr w:type="gramStart"/>
      <w:r w:rsidRPr="000B2514">
        <w:rPr>
          <w:sz w:val="26"/>
          <w:szCs w:val="26"/>
        </w:rPr>
        <w:t>Васино</w:t>
      </w:r>
      <w:proofErr w:type="gramEnd"/>
      <w:r w:rsidRPr="000B2514">
        <w:rPr>
          <w:sz w:val="26"/>
          <w:szCs w:val="26"/>
        </w:rPr>
        <w:t>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специализированной общественной застройки – О.2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д. </w:t>
      </w:r>
      <w:proofErr w:type="spellStart"/>
      <w:r w:rsidRPr="000B2514">
        <w:rPr>
          <w:sz w:val="26"/>
          <w:szCs w:val="26"/>
        </w:rPr>
        <w:t>Белавка</w:t>
      </w:r>
      <w:proofErr w:type="spellEnd"/>
      <w:r w:rsidRPr="000B2514">
        <w:rPr>
          <w:sz w:val="26"/>
          <w:szCs w:val="26"/>
        </w:rPr>
        <w:t xml:space="preserve">, д. Васино, д. </w:t>
      </w:r>
      <w:proofErr w:type="spellStart"/>
      <w:r w:rsidRPr="000B2514">
        <w:rPr>
          <w:sz w:val="26"/>
          <w:szCs w:val="26"/>
        </w:rPr>
        <w:t>Пушкарево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>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Зона исторической застройки – О.3 в границах населенных пунктов - отсутствует.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Производственные зоны, зоны инженерной и транспортной инфраструктур: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Производственная зона – П.1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д. Васино,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>, д. Садовая;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Коммунально-складская зона – П.2 в границах населенных пунктов - отсутствует.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транспортной инфраструктуры – Т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</w:t>
      </w:r>
      <w:proofErr w:type="spellStart"/>
      <w:r w:rsidRPr="000B2514">
        <w:rPr>
          <w:sz w:val="26"/>
          <w:szCs w:val="26"/>
        </w:rPr>
        <w:t>Белавка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Бизюково</w:t>
      </w:r>
      <w:proofErr w:type="spellEnd"/>
      <w:r w:rsidRPr="000B2514">
        <w:rPr>
          <w:sz w:val="26"/>
          <w:szCs w:val="26"/>
        </w:rPr>
        <w:t xml:space="preserve">, д. Василисино, д. Васино, </w:t>
      </w:r>
      <w:r w:rsidR="00403E4C">
        <w:rPr>
          <w:sz w:val="26"/>
          <w:szCs w:val="26"/>
        </w:rPr>
        <w:t xml:space="preserve">д. </w:t>
      </w:r>
      <w:proofErr w:type="spellStart"/>
      <w:r w:rsidR="00403E4C">
        <w:rPr>
          <w:sz w:val="26"/>
          <w:szCs w:val="26"/>
        </w:rPr>
        <w:t>Егорьево</w:t>
      </w:r>
      <w:proofErr w:type="spellEnd"/>
      <w:r w:rsidR="00403E4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Ивановское, </w:t>
      </w:r>
      <w:r w:rsidR="00403E4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r w:rsidRPr="000B2514">
        <w:rPr>
          <w:sz w:val="26"/>
          <w:szCs w:val="26"/>
        </w:rPr>
        <w:t xml:space="preserve">Кузнецово, д. </w:t>
      </w:r>
      <w:proofErr w:type="spellStart"/>
      <w:r w:rsidRPr="000B2514">
        <w:rPr>
          <w:sz w:val="26"/>
          <w:szCs w:val="26"/>
        </w:rPr>
        <w:t>Лелявино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Прослище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Пушкарево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Роги</w:t>
      </w:r>
      <w:proofErr w:type="spellEnd"/>
      <w:r w:rsidRPr="000B2514"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      </w:t>
      </w:r>
      <w:r w:rsidRPr="000B2514">
        <w:rPr>
          <w:sz w:val="26"/>
          <w:szCs w:val="26"/>
        </w:rPr>
        <w:t xml:space="preserve">д. Садовая, д.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 xml:space="preserve">, д. Филино,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инженерной инфраструктуры – И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Ново-Михайловское, д. Болдино, д. Васино, д. </w:t>
      </w:r>
      <w:proofErr w:type="spellStart"/>
      <w:r w:rsidRPr="000B2514">
        <w:rPr>
          <w:sz w:val="26"/>
          <w:szCs w:val="26"/>
        </w:rPr>
        <w:t>Мартынково</w:t>
      </w:r>
      <w:proofErr w:type="spellEnd"/>
      <w:r w:rsidRPr="000B25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Новый Двор, </w:t>
      </w:r>
      <w:r w:rsidR="00403E4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r w:rsidRPr="000B2514">
        <w:rPr>
          <w:sz w:val="26"/>
          <w:szCs w:val="26"/>
        </w:rPr>
        <w:t xml:space="preserve">Рязань, д. Садовая, д. </w:t>
      </w:r>
      <w:proofErr w:type="spellStart"/>
      <w:r w:rsidRPr="000B2514">
        <w:rPr>
          <w:sz w:val="26"/>
          <w:szCs w:val="26"/>
        </w:rPr>
        <w:t>Самцово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 xml:space="preserve">. 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Зоны сельскохозяйственного использования: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сельскохозяйственных угодий - СХ.1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Ново-Михайловское, д. </w:t>
      </w:r>
      <w:proofErr w:type="spellStart"/>
      <w:r w:rsidRPr="000B2514">
        <w:rPr>
          <w:sz w:val="26"/>
          <w:szCs w:val="26"/>
        </w:rPr>
        <w:t>Белавка</w:t>
      </w:r>
      <w:proofErr w:type="spellEnd"/>
      <w:r w:rsidRPr="000B2514">
        <w:rPr>
          <w:sz w:val="26"/>
          <w:szCs w:val="26"/>
        </w:rPr>
        <w:t xml:space="preserve">, д. Деревенщики, д. </w:t>
      </w:r>
      <w:proofErr w:type="spellStart"/>
      <w:r w:rsidRPr="000B2514">
        <w:rPr>
          <w:sz w:val="26"/>
          <w:szCs w:val="26"/>
        </w:rPr>
        <w:t>Мартынково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</w:t>
      </w:r>
      <w:r w:rsidRPr="000B2514">
        <w:rPr>
          <w:sz w:val="26"/>
          <w:szCs w:val="26"/>
        </w:rPr>
        <w:t xml:space="preserve">д. </w:t>
      </w:r>
      <w:proofErr w:type="spellStart"/>
      <w:r w:rsidRPr="000B2514">
        <w:rPr>
          <w:sz w:val="26"/>
          <w:szCs w:val="26"/>
        </w:rPr>
        <w:t>Пушкарево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Соколово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Ставково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садоводческих, огороднических или дачных некоммерческих объединений граждан - СХ.2 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Ново-Михайловское, д. </w:t>
      </w:r>
      <w:proofErr w:type="spellStart"/>
      <w:r w:rsidRPr="000B2514">
        <w:rPr>
          <w:sz w:val="26"/>
          <w:szCs w:val="26"/>
        </w:rPr>
        <w:t>Белавка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Бизюково</w:t>
      </w:r>
      <w:proofErr w:type="spellEnd"/>
      <w:r w:rsidRPr="000B2514">
        <w:rPr>
          <w:sz w:val="26"/>
          <w:szCs w:val="26"/>
        </w:rPr>
        <w:t xml:space="preserve">, д. Болдино, д. Василисино, д. Васино, д. </w:t>
      </w:r>
      <w:proofErr w:type="spellStart"/>
      <w:r w:rsidRPr="000B2514">
        <w:rPr>
          <w:sz w:val="26"/>
          <w:szCs w:val="26"/>
        </w:rPr>
        <w:t>Елисеенки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Мамыркино</w:t>
      </w:r>
      <w:proofErr w:type="spellEnd"/>
      <w:r w:rsidRPr="000B2514">
        <w:rPr>
          <w:sz w:val="26"/>
          <w:szCs w:val="26"/>
        </w:rPr>
        <w:t xml:space="preserve">, д. Никулино, д. Рязань, д. Садовая, д. </w:t>
      </w:r>
      <w:proofErr w:type="spellStart"/>
      <w:r w:rsidRPr="000B2514">
        <w:rPr>
          <w:sz w:val="26"/>
          <w:szCs w:val="26"/>
        </w:rPr>
        <w:t>Самцово</w:t>
      </w:r>
      <w:proofErr w:type="spellEnd"/>
      <w:r w:rsidRPr="000B2514"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    </w:t>
      </w:r>
      <w:r w:rsidRPr="000B2514">
        <w:rPr>
          <w:sz w:val="26"/>
          <w:szCs w:val="26"/>
        </w:rPr>
        <w:t xml:space="preserve">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 xml:space="preserve">. 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Производственная зона сельскохозяйственных предприятий - СХ.3.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</w:t>
      </w:r>
      <w:proofErr w:type="spellStart"/>
      <w:r w:rsidRPr="000B2514">
        <w:rPr>
          <w:sz w:val="26"/>
          <w:szCs w:val="26"/>
        </w:rPr>
        <w:t>Белавка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Бизюково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Клешники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Молодилово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Пушкарево</w:t>
      </w:r>
      <w:proofErr w:type="spellEnd"/>
      <w:r w:rsidRPr="000B2514"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</w:t>
      </w:r>
      <w:r w:rsidRPr="000B2514">
        <w:rPr>
          <w:sz w:val="26"/>
          <w:szCs w:val="26"/>
        </w:rPr>
        <w:t xml:space="preserve">д. Садовая, д. </w:t>
      </w:r>
      <w:proofErr w:type="spellStart"/>
      <w:r w:rsidRPr="000B2514">
        <w:rPr>
          <w:sz w:val="26"/>
          <w:szCs w:val="26"/>
        </w:rPr>
        <w:t>Самцово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Рекреационные зоны: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lastRenderedPageBreak/>
        <w:t>Зона озелененных территорий общего пользования (лесопарки, парки, сады, скверы, бульвары, городские леса) - Р.1 в границах населенных пунктов - отсутствует.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Зона отдыха - Р.2 в границах населенного пункта д. Городок.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Лесопарковая зона - Р.4 в границах населенных пунктов - отсутствует.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Иные рекреационные зоны – Р.6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Ново-Михайловское, д. </w:t>
      </w:r>
      <w:proofErr w:type="spellStart"/>
      <w:r w:rsidRPr="000B2514">
        <w:rPr>
          <w:sz w:val="26"/>
          <w:szCs w:val="26"/>
        </w:rPr>
        <w:t>Бизюково</w:t>
      </w:r>
      <w:proofErr w:type="spellEnd"/>
      <w:r w:rsidRPr="000B2514">
        <w:rPr>
          <w:sz w:val="26"/>
          <w:szCs w:val="26"/>
        </w:rPr>
        <w:t xml:space="preserve">, д. Болдино, д. </w:t>
      </w:r>
      <w:proofErr w:type="spellStart"/>
      <w:r w:rsidRPr="000B2514">
        <w:rPr>
          <w:sz w:val="26"/>
          <w:szCs w:val="26"/>
        </w:rPr>
        <w:t>Карачарово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Лелявино</w:t>
      </w:r>
      <w:proofErr w:type="spellEnd"/>
      <w:r w:rsidRPr="000B2514"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proofErr w:type="spellStart"/>
      <w:r w:rsidRPr="000B2514">
        <w:rPr>
          <w:sz w:val="26"/>
          <w:szCs w:val="26"/>
        </w:rPr>
        <w:t>Мамыркино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Соколово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Ставково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>Зоны специального назначения: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кладбищ - СП.1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</w:t>
      </w:r>
      <w:proofErr w:type="spellStart"/>
      <w:r w:rsidRPr="000B2514">
        <w:rPr>
          <w:sz w:val="26"/>
          <w:szCs w:val="26"/>
        </w:rPr>
        <w:t>Бизюково</w:t>
      </w:r>
      <w:proofErr w:type="spellEnd"/>
      <w:r w:rsidRPr="000B2514">
        <w:rPr>
          <w:sz w:val="26"/>
          <w:szCs w:val="26"/>
        </w:rPr>
        <w:t xml:space="preserve">, д. Болдино, д. Ивановское,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Карачарово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>, д.</w:t>
      </w:r>
      <w:r w:rsidR="00403E4C">
        <w:rPr>
          <w:sz w:val="26"/>
          <w:szCs w:val="26"/>
        </w:rPr>
        <w:t xml:space="preserve">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  <w:proofErr w:type="gramEnd"/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2514">
        <w:rPr>
          <w:sz w:val="26"/>
          <w:szCs w:val="26"/>
        </w:rPr>
        <w:t xml:space="preserve">Зона озелененных территорий специального назначения - СП.3 в границах населенных пунктов: </w:t>
      </w:r>
    </w:p>
    <w:p w:rsidR="00EC679D" w:rsidRPr="000B2514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2514">
        <w:rPr>
          <w:sz w:val="26"/>
          <w:szCs w:val="26"/>
        </w:rPr>
        <w:t xml:space="preserve">д. Ново-Михайловское, д. </w:t>
      </w:r>
      <w:proofErr w:type="spellStart"/>
      <w:r w:rsidRPr="000B2514">
        <w:rPr>
          <w:sz w:val="26"/>
          <w:szCs w:val="26"/>
        </w:rPr>
        <w:t>Бизюково</w:t>
      </w:r>
      <w:proofErr w:type="spellEnd"/>
      <w:r w:rsidRPr="000B2514">
        <w:rPr>
          <w:sz w:val="26"/>
          <w:szCs w:val="26"/>
        </w:rPr>
        <w:t xml:space="preserve">, д. Болдино, д. Ивановское, д. </w:t>
      </w:r>
      <w:proofErr w:type="spellStart"/>
      <w:proofErr w:type="gramEnd"/>
      <w:r w:rsidRPr="000B2514">
        <w:rPr>
          <w:sz w:val="26"/>
          <w:szCs w:val="26"/>
        </w:rPr>
        <w:t>Карачарово</w:t>
      </w:r>
      <w:proofErr w:type="spellEnd"/>
      <w:r w:rsidRPr="000B2514">
        <w:rPr>
          <w:sz w:val="26"/>
          <w:szCs w:val="26"/>
        </w:rPr>
        <w:t xml:space="preserve">, </w:t>
      </w:r>
      <w:r w:rsidR="00403E4C">
        <w:rPr>
          <w:sz w:val="26"/>
          <w:szCs w:val="26"/>
        </w:rPr>
        <w:t xml:space="preserve">                 </w:t>
      </w:r>
      <w:bookmarkStart w:id="0" w:name="_GoBack"/>
      <w:bookmarkEnd w:id="0"/>
      <w:r>
        <w:rPr>
          <w:sz w:val="26"/>
          <w:szCs w:val="26"/>
        </w:rPr>
        <w:t>д.</w:t>
      </w:r>
      <w:r w:rsidR="00403E4C">
        <w:rPr>
          <w:sz w:val="26"/>
          <w:szCs w:val="26"/>
        </w:rPr>
        <w:t xml:space="preserve"> </w:t>
      </w:r>
      <w:proofErr w:type="spellStart"/>
      <w:proofErr w:type="gramStart"/>
      <w:r w:rsidRPr="000B2514">
        <w:rPr>
          <w:sz w:val="26"/>
          <w:szCs w:val="26"/>
        </w:rPr>
        <w:t>Полибино</w:t>
      </w:r>
      <w:proofErr w:type="spellEnd"/>
      <w:r w:rsidRPr="000B2514">
        <w:rPr>
          <w:sz w:val="26"/>
          <w:szCs w:val="26"/>
        </w:rPr>
        <w:t xml:space="preserve">, д. </w:t>
      </w:r>
      <w:proofErr w:type="spellStart"/>
      <w:r w:rsidRPr="000B2514">
        <w:rPr>
          <w:sz w:val="26"/>
          <w:szCs w:val="26"/>
        </w:rPr>
        <w:t>Пушкарево</w:t>
      </w:r>
      <w:proofErr w:type="spellEnd"/>
      <w:r w:rsidRPr="000B2514">
        <w:rPr>
          <w:sz w:val="26"/>
          <w:szCs w:val="26"/>
        </w:rPr>
        <w:t xml:space="preserve">, д. Садовая, д. </w:t>
      </w:r>
      <w:proofErr w:type="spellStart"/>
      <w:r w:rsidRPr="000B2514">
        <w:rPr>
          <w:sz w:val="26"/>
          <w:szCs w:val="26"/>
        </w:rPr>
        <w:t>Соколово</w:t>
      </w:r>
      <w:proofErr w:type="spellEnd"/>
      <w:r w:rsidRPr="000B2514">
        <w:rPr>
          <w:sz w:val="26"/>
          <w:szCs w:val="26"/>
        </w:rPr>
        <w:t xml:space="preserve">, д. Филино, д. </w:t>
      </w:r>
      <w:proofErr w:type="spellStart"/>
      <w:r w:rsidRPr="000B2514">
        <w:rPr>
          <w:sz w:val="26"/>
          <w:szCs w:val="26"/>
        </w:rPr>
        <w:t>Шаломино</w:t>
      </w:r>
      <w:proofErr w:type="spellEnd"/>
      <w:r w:rsidRPr="000B2514">
        <w:rPr>
          <w:sz w:val="26"/>
          <w:szCs w:val="26"/>
        </w:rPr>
        <w:t xml:space="preserve">, станция </w:t>
      </w:r>
      <w:proofErr w:type="spellStart"/>
      <w:r w:rsidRPr="000B2514">
        <w:rPr>
          <w:sz w:val="26"/>
          <w:szCs w:val="26"/>
        </w:rPr>
        <w:t>Струково</w:t>
      </w:r>
      <w:proofErr w:type="spellEnd"/>
      <w:r w:rsidRPr="000B2514">
        <w:rPr>
          <w:sz w:val="26"/>
          <w:szCs w:val="26"/>
        </w:rPr>
        <w:t>.</w:t>
      </w:r>
      <w:proofErr w:type="gramEnd"/>
    </w:p>
    <w:p w:rsidR="00EC679D" w:rsidRPr="00FA2D2D" w:rsidRDefault="00EC679D" w:rsidP="00EC679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>Производственные зоны, зоны инженерной и транспортной инфраструктуры (на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земли безопасности и землях иного спе</w:t>
      </w:r>
      <w:r>
        <w:rPr>
          <w:sz w:val="26"/>
          <w:szCs w:val="26"/>
        </w:rPr>
        <w:t>циального назначения) – ЗПР»;</w:t>
      </w:r>
      <w:proofErr w:type="gramEnd"/>
    </w:p>
    <w:p w:rsidR="00EC679D" w:rsidRDefault="00EC679D" w:rsidP="00EC679D">
      <w:pPr>
        <w:ind w:firstLine="708"/>
        <w:rPr>
          <w:color w:val="000000"/>
          <w:sz w:val="26"/>
          <w:szCs w:val="26"/>
        </w:rPr>
      </w:pPr>
    </w:p>
    <w:p w:rsidR="00EC679D" w:rsidRDefault="00EC679D" w:rsidP="00EC679D">
      <w:pPr>
        <w:ind w:firstLine="708"/>
        <w:jc w:val="both"/>
        <w:rPr>
          <w:rStyle w:val="30"/>
          <w:b w:val="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статье 39</w:t>
      </w:r>
      <w:r w:rsidRPr="00935F3B">
        <w:rPr>
          <w:bCs/>
          <w:sz w:val="26"/>
          <w:szCs w:val="26"/>
        </w:rPr>
        <w:t>.2 Градостроительный регламент зоны садоводческих, огороднических или дачных некоммерческих объединений граждан - СХ.2</w:t>
      </w:r>
      <w:r>
        <w:rPr>
          <w:b/>
          <w:bCs/>
        </w:rPr>
        <w:t xml:space="preserve"> </w:t>
      </w:r>
      <w:r>
        <w:rPr>
          <w:rStyle w:val="30"/>
          <w:sz w:val="26"/>
          <w:szCs w:val="26"/>
        </w:rPr>
        <w:t>таблицу изложить в следующей редакции</w:t>
      </w:r>
      <w:r w:rsidRPr="00CC5F25">
        <w:rPr>
          <w:rStyle w:val="30"/>
          <w:sz w:val="26"/>
          <w:szCs w:val="26"/>
        </w:rPr>
        <w:t>:</w:t>
      </w:r>
    </w:p>
    <w:p w:rsidR="00EC679D" w:rsidRDefault="00EC679D" w:rsidP="00EC679D">
      <w:pPr>
        <w:ind w:firstLine="708"/>
        <w:jc w:val="both"/>
        <w:rPr>
          <w:rStyle w:val="30"/>
          <w:b w:val="0"/>
          <w:sz w:val="26"/>
          <w:szCs w:val="26"/>
        </w:rPr>
      </w:pPr>
    </w:p>
    <w:tbl>
      <w:tblPr>
        <w:tblW w:w="98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636"/>
        <w:gridCol w:w="851"/>
        <w:gridCol w:w="1134"/>
        <w:gridCol w:w="1134"/>
        <w:gridCol w:w="1134"/>
        <w:gridCol w:w="1134"/>
        <w:gridCol w:w="1096"/>
      </w:tblGrid>
      <w:tr w:rsidR="00EC679D" w:rsidRPr="00935F3B" w:rsidTr="00AF7FCE">
        <w:trPr>
          <w:cantSplit/>
          <w:trHeight w:val="1417"/>
          <w:jc w:val="center"/>
        </w:trPr>
        <w:tc>
          <w:tcPr>
            <w:tcW w:w="730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35F3B">
              <w:rPr>
                <w:b/>
                <w:sz w:val="22"/>
                <w:szCs w:val="22"/>
              </w:rPr>
              <w:t>п</w:t>
            </w:r>
            <w:proofErr w:type="gramEnd"/>
            <w:r w:rsidRPr="00935F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36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ЗУ </w:t>
            </w:r>
            <w:r w:rsidRPr="00935F3B">
              <w:rPr>
                <w:b/>
                <w:sz w:val="22"/>
                <w:szCs w:val="22"/>
                <w:lang w:val="en-US"/>
              </w:rPr>
              <w:t>min</w:t>
            </w:r>
            <w:r w:rsidRPr="00935F3B">
              <w:rPr>
                <w:b/>
                <w:sz w:val="22"/>
                <w:szCs w:val="22"/>
              </w:rPr>
              <w:t>,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5F3B">
              <w:rPr>
                <w:b/>
                <w:sz w:val="22"/>
                <w:szCs w:val="22"/>
              </w:rPr>
              <w:t>кв.м</w:t>
            </w:r>
            <w:proofErr w:type="spellEnd"/>
            <w:r w:rsidRPr="00935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ЗУ </w:t>
            </w:r>
            <w:r w:rsidRPr="00935F3B">
              <w:rPr>
                <w:b/>
                <w:sz w:val="22"/>
                <w:szCs w:val="22"/>
                <w:lang w:val="en-US"/>
              </w:rPr>
              <w:t>max</w:t>
            </w:r>
            <w:r w:rsidRPr="00935F3B">
              <w:rPr>
                <w:b/>
                <w:sz w:val="22"/>
                <w:szCs w:val="22"/>
              </w:rPr>
              <w:t>,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5F3B">
              <w:rPr>
                <w:b/>
                <w:sz w:val="22"/>
                <w:szCs w:val="22"/>
              </w:rPr>
              <w:t>кв.м</w:t>
            </w:r>
            <w:proofErr w:type="spellEnd"/>
            <w:r w:rsidRPr="00935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Отступ, </w:t>
            </w:r>
            <w:proofErr w:type="gramStart"/>
            <w:r w:rsidRPr="00935F3B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5F3B">
              <w:rPr>
                <w:b/>
                <w:sz w:val="22"/>
                <w:szCs w:val="22"/>
              </w:rPr>
              <w:t>Эт</w:t>
            </w:r>
            <w:proofErr w:type="spellEnd"/>
            <w:r w:rsidRPr="00935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dxa"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%</w:t>
            </w: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25</w:t>
            </w: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40</w:t>
            </w: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40</w:t>
            </w: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C679D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75</w:t>
            </w:r>
          </w:p>
        </w:tc>
      </w:tr>
      <w:tr w:rsidR="00EC679D" w:rsidRPr="00935F3B" w:rsidTr="00AF7FCE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7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C679D" w:rsidRPr="00935F3B" w:rsidTr="00AF7FCE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679D" w:rsidRPr="00935F3B" w:rsidTr="00AF7FCE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8.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C679D" w:rsidRPr="00935F3B" w:rsidTr="00AF7FCE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679D" w:rsidRPr="00935F3B" w:rsidTr="00AF7FCE">
        <w:trPr>
          <w:trHeight w:val="2035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9.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 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75</w:t>
            </w:r>
          </w:p>
        </w:tc>
      </w:tr>
      <w:tr w:rsidR="00EC679D" w:rsidRPr="00935F3B" w:rsidTr="00AF7FCE">
        <w:trPr>
          <w:trHeight w:val="2050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Приюты для животных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60</w:t>
            </w:r>
          </w:p>
        </w:tc>
      </w:tr>
      <w:tr w:rsidR="00EC679D" w:rsidRPr="00935F3B" w:rsidTr="00AF7FCE">
        <w:trPr>
          <w:trHeight w:val="2065"/>
          <w:jc w:val="center"/>
        </w:trPr>
        <w:tc>
          <w:tcPr>
            <w:tcW w:w="730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11.</w:t>
            </w:r>
          </w:p>
        </w:tc>
        <w:tc>
          <w:tcPr>
            <w:tcW w:w="263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Магазины</w:t>
            </w:r>
          </w:p>
        </w:tc>
        <w:tc>
          <w:tcPr>
            <w:tcW w:w="851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50</w:t>
            </w:r>
          </w:p>
        </w:tc>
      </w:tr>
      <w:tr w:rsidR="00EC679D" w:rsidRPr="00935F3B" w:rsidTr="00AF7FCE">
        <w:trPr>
          <w:trHeight w:val="20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45</w:t>
            </w:r>
          </w:p>
        </w:tc>
      </w:tr>
      <w:tr w:rsidR="00EC679D" w:rsidRPr="00935F3B" w:rsidTr="00AF7FCE">
        <w:trPr>
          <w:trHeight w:val="20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Сенокошение</w:t>
            </w:r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C679D" w:rsidRPr="00935F3B" w:rsidTr="00AF7FCE">
        <w:trPr>
          <w:trHeight w:val="20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 xml:space="preserve">Выпас </w:t>
            </w:r>
            <w:proofErr w:type="gramStart"/>
            <w:r w:rsidRPr="00935F3B">
              <w:rPr>
                <w:sz w:val="22"/>
                <w:szCs w:val="22"/>
              </w:rPr>
              <w:t>сельскохозяйственных</w:t>
            </w:r>
            <w:proofErr w:type="gramEnd"/>
          </w:p>
          <w:p w:rsidR="00EC679D" w:rsidRPr="00935F3B" w:rsidRDefault="00EC679D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9D" w:rsidRPr="00935F3B" w:rsidRDefault="00EC679D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EC679D" w:rsidRPr="00513B9D" w:rsidRDefault="00EC679D" w:rsidP="00EC679D">
      <w:pPr>
        <w:ind w:firstLine="708"/>
        <w:rPr>
          <w:color w:val="000000"/>
          <w:sz w:val="26"/>
          <w:szCs w:val="26"/>
          <w:lang w:val="en-US"/>
        </w:rPr>
      </w:pPr>
    </w:p>
    <w:p w:rsidR="00EC679D" w:rsidRPr="00935F3B" w:rsidRDefault="00EC679D" w:rsidP="00EC679D">
      <w:pPr>
        <w:ind w:firstLine="708"/>
        <w:rPr>
          <w:color w:val="000000"/>
          <w:sz w:val="26"/>
          <w:szCs w:val="26"/>
        </w:rPr>
      </w:pPr>
      <w:r w:rsidRPr="00404495">
        <w:rPr>
          <w:color w:val="000000"/>
          <w:sz w:val="26"/>
          <w:szCs w:val="26"/>
        </w:rPr>
        <w:t xml:space="preserve">2. Настоящее </w:t>
      </w:r>
      <w:r>
        <w:rPr>
          <w:color w:val="000000"/>
          <w:sz w:val="26"/>
          <w:szCs w:val="26"/>
        </w:rPr>
        <w:t>постановление подлежит официальному опубликованию</w:t>
      </w:r>
      <w:r w:rsidRPr="00404495">
        <w:rPr>
          <w:color w:val="000000"/>
          <w:sz w:val="26"/>
          <w:szCs w:val="26"/>
        </w:rPr>
        <w:t xml:space="preserve"> в газете «Край Дорогобужский» </w:t>
      </w:r>
      <w:r>
        <w:rPr>
          <w:color w:val="000000"/>
          <w:sz w:val="26"/>
          <w:szCs w:val="26"/>
        </w:rPr>
        <w:t xml:space="preserve">и </w:t>
      </w:r>
      <w:r w:rsidRPr="00404495">
        <w:rPr>
          <w:color w:val="000000"/>
          <w:sz w:val="26"/>
          <w:szCs w:val="26"/>
        </w:rPr>
        <w:t xml:space="preserve">размещению </w:t>
      </w:r>
      <w:r w:rsidRPr="00404495">
        <w:rPr>
          <w:sz w:val="26"/>
          <w:szCs w:val="26"/>
        </w:rPr>
        <w:t>на официальном сайте муниципального образования «Дорогобужский район» Смоленской области.</w:t>
      </w:r>
    </w:p>
    <w:p w:rsidR="00EC679D" w:rsidRDefault="00EC679D" w:rsidP="00EC679D">
      <w:pPr>
        <w:rPr>
          <w:sz w:val="26"/>
          <w:szCs w:val="26"/>
        </w:rPr>
      </w:pPr>
    </w:p>
    <w:p w:rsidR="00EC679D" w:rsidRDefault="00EC679D" w:rsidP="00EC679D">
      <w:pPr>
        <w:rPr>
          <w:sz w:val="26"/>
          <w:szCs w:val="26"/>
        </w:rPr>
      </w:pPr>
    </w:p>
    <w:p w:rsidR="00EC679D" w:rsidRDefault="00EC679D" w:rsidP="00EC679D">
      <w:pPr>
        <w:rPr>
          <w:sz w:val="26"/>
          <w:szCs w:val="26"/>
        </w:rPr>
      </w:pPr>
    </w:p>
    <w:p w:rsidR="00EC679D" w:rsidRPr="00485453" w:rsidRDefault="00EC679D" w:rsidP="00EC679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85453">
        <w:rPr>
          <w:sz w:val="26"/>
          <w:szCs w:val="26"/>
        </w:rPr>
        <w:t xml:space="preserve"> муниципального образования </w:t>
      </w:r>
    </w:p>
    <w:p w:rsidR="00EC679D" w:rsidRPr="00485453" w:rsidRDefault="00EC679D" w:rsidP="00EC679D">
      <w:pPr>
        <w:rPr>
          <w:b/>
          <w:sz w:val="26"/>
          <w:szCs w:val="26"/>
        </w:rPr>
      </w:pPr>
      <w:r w:rsidRPr="00485453">
        <w:rPr>
          <w:sz w:val="26"/>
          <w:szCs w:val="26"/>
        </w:rPr>
        <w:t xml:space="preserve">«Дорогобужский район» Смоленской области        </w:t>
      </w:r>
      <w:r>
        <w:rPr>
          <w:sz w:val="26"/>
          <w:szCs w:val="26"/>
        </w:rPr>
        <w:t xml:space="preserve">                                   </w:t>
      </w:r>
      <w:r w:rsidRPr="0070431D">
        <w:rPr>
          <w:b/>
          <w:sz w:val="26"/>
          <w:szCs w:val="26"/>
        </w:rPr>
        <w:t xml:space="preserve">К.Н. </w:t>
      </w:r>
      <w:proofErr w:type="spellStart"/>
      <w:r w:rsidRPr="0070431D">
        <w:rPr>
          <w:b/>
          <w:sz w:val="26"/>
          <w:szCs w:val="26"/>
        </w:rPr>
        <w:t>Серенков</w:t>
      </w:r>
      <w:proofErr w:type="spellEnd"/>
      <w:r w:rsidRPr="0070431D">
        <w:rPr>
          <w:b/>
          <w:sz w:val="26"/>
          <w:szCs w:val="26"/>
        </w:rPr>
        <w:t xml:space="preserve">              </w:t>
      </w:r>
    </w:p>
    <w:p w:rsidR="00D067EF" w:rsidRDefault="00D067EF"/>
    <w:sectPr w:rsidR="00D067EF" w:rsidSect="00EC679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9"/>
    <w:rsid w:val="00403E4C"/>
    <w:rsid w:val="00BE6999"/>
    <w:rsid w:val="00D067EF"/>
    <w:rsid w:val="00E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79D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679D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C679D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79D"/>
    <w:pPr>
      <w:keepNext/>
      <w:keepLines/>
      <w:widowControl w:val="0"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qFormat/>
    <w:rsid w:val="00EC679D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7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679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679D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C67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C67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EC679D"/>
    <w:pPr>
      <w:jc w:val="both"/>
    </w:pPr>
  </w:style>
  <w:style w:type="character" w:customStyle="1" w:styleId="a4">
    <w:name w:val="Основной текст Знак"/>
    <w:basedOn w:val="a0"/>
    <w:link w:val="a3"/>
    <w:rsid w:val="00EC6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C679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C679D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79D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679D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C679D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79D"/>
    <w:pPr>
      <w:keepNext/>
      <w:keepLines/>
      <w:widowControl w:val="0"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qFormat/>
    <w:rsid w:val="00EC679D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7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679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679D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C67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C67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EC679D"/>
    <w:pPr>
      <w:jc w:val="both"/>
    </w:pPr>
  </w:style>
  <w:style w:type="character" w:customStyle="1" w:styleId="a4">
    <w:name w:val="Основной текст Знак"/>
    <w:basedOn w:val="a0"/>
    <w:link w:val="a3"/>
    <w:rsid w:val="00EC6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C679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C679D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1316</Words>
  <Characters>7504</Characters>
  <Application>Microsoft Office Word</Application>
  <DocSecurity>0</DocSecurity>
  <Lines>62</Lines>
  <Paragraphs>17</Paragraphs>
  <ScaleCrop>false</ScaleCrop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2024-01-19T07:52:00Z</dcterms:created>
  <dcterms:modified xsi:type="dcterms:W3CDTF">2024-01-19T08:02:00Z</dcterms:modified>
</cp:coreProperties>
</file>