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7D6926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6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FE4D2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E4D27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«Дорогобужский район» Смоленской области  </w:t>
      </w:r>
    </w:p>
    <w:p w14:paraId="58EC872E" w14:textId="701BD1F7" w:rsidR="001268AC" w:rsidRPr="00FE4D27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D2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FE4D2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D6926" w:rsidRPr="00FE4D27">
        <w:rPr>
          <w:rFonts w:ascii="Times New Roman" w:hAnsi="Times New Roman" w:cs="Times New Roman"/>
          <w:b/>
          <w:sz w:val="24"/>
          <w:szCs w:val="24"/>
        </w:rPr>
        <w:t>ноября</w:t>
      </w:r>
      <w:r w:rsidR="00233DC9" w:rsidRPr="00FE4D2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FE4D27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7D6926" w:rsidRPr="00FE4D27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E4D27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FE4D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FE4D2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D27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FE4D2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D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68ED8F1D" w:rsidR="005359D4" w:rsidRPr="00FE4D2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E4D27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FE4D27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6E7C95" w:rsidRPr="00FE4D27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7D6926" w:rsidRPr="00FE4D27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CF6017" w:rsidRPr="00FE4D27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="006E7C95" w:rsidRPr="00FE4D27">
        <w:rPr>
          <w:rFonts w:ascii="Times New Roman" w:hAnsi="Times New Roman" w:cs="Times New Roman"/>
          <w:b/>
          <w:bCs/>
          <w:sz w:val="20"/>
          <w:szCs w:val="24"/>
        </w:rPr>
        <w:t xml:space="preserve"> по 10.1</w:t>
      </w:r>
      <w:r w:rsidR="007D6926" w:rsidRPr="00FE4D27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FE4D27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4AEDDA05" w14:textId="77777777" w:rsidR="001268AC" w:rsidRPr="00FE4D27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FE4D27" w:rsidRPr="000668AF" w14:paraId="7AAB8624" w14:textId="594A40F7" w:rsidTr="0093379B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0668AF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0668AF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511BA549" w:rsidR="007A42FF" w:rsidRPr="000668AF" w:rsidRDefault="007A42FF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7D6926"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4DFB55F0" w:rsidR="007A42FF" w:rsidRPr="000668AF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2CBF2FEA" w:rsidR="007A42FF" w:rsidRPr="000668AF" w:rsidRDefault="007A42FF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7D6926"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0668AF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0668AF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0668AF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0668AF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E4D27" w:rsidRPr="000668AF" w14:paraId="7C9826AA" w14:textId="0DD4C3FD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F96" w14:textId="753B247A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2B8665D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936C" w14:textId="4C9B1DBD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6408171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256B57F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2219E9C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5729813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-3,59</w:t>
            </w:r>
          </w:p>
        </w:tc>
      </w:tr>
      <w:tr w:rsidR="00FE4D27" w:rsidRPr="000668AF" w14:paraId="64166D50" w14:textId="66CE0356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715" w14:textId="78F34777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F518F4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38B4" w14:textId="75D0AAB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6E4E9DE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590C83F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502FFEBD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5C4C683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FE4D27" w:rsidRPr="000668AF" w14:paraId="048668D8" w14:textId="7B3585B1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E2A" w14:textId="280996D8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A79970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DB1D" w14:textId="6131D3C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7A479BE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2834485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78C88C5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40BC07A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FE4D27" w:rsidRPr="000668AF" w14:paraId="48A1163B" w14:textId="2355FC45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AE3" w14:textId="12ECA4A1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0CCA72E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5A40" w14:textId="4F96FE4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087E277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6ABD215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-8,42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74B45B3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461C6D0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-7,45</w:t>
            </w:r>
          </w:p>
        </w:tc>
      </w:tr>
      <w:tr w:rsidR="00FE4D27" w:rsidRPr="000668AF" w14:paraId="16E8E974" w14:textId="0EE209C1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742" w14:textId="1B7464E5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700538B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1668" w14:textId="6EA569A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4B8F7EC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5AFFA54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1C759BB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66E2C6E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-1,33</w:t>
            </w:r>
          </w:p>
        </w:tc>
      </w:tr>
      <w:tr w:rsidR="00FE4D27" w:rsidRPr="000668AF" w14:paraId="35F1843A" w14:textId="634025CD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D87EB" w14:textId="5B4F65B4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1B78535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AD74D58" w14:textId="5AD2AAD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24F500C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662AC37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119A179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5F87770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-4,99</w:t>
            </w:r>
          </w:p>
        </w:tc>
      </w:tr>
      <w:tr w:rsidR="00FE4D27" w:rsidRPr="000668AF" w14:paraId="713A027A" w14:textId="29836AF6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971" w14:textId="0FFD934B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194BEA6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53F" w14:textId="5EF0FA7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6AEF62A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7CA953B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06FDC82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50F397C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-1,39</w:t>
            </w:r>
          </w:p>
        </w:tc>
      </w:tr>
      <w:tr w:rsidR="00FE4D27" w:rsidRPr="000668AF" w14:paraId="18E7E5A3" w14:textId="0F81E2B3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079" w14:textId="0E08631D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1B6F294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85FD" w14:textId="5DC53A1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2C131F9D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74B08DD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343E801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5CC3FBE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D27" w:rsidRPr="000668AF" w14:paraId="5E7B1F35" w14:textId="0735FC49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2E" w14:textId="72CF1238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4399ACF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2BB" w14:textId="72533BA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65A3535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45C1E21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3A0B54E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5FC45BB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-3,79</w:t>
            </w:r>
          </w:p>
        </w:tc>
      </w:tr>
      <w:tr w:rsidR="00FE4D27" w:rsidRPr="000668AF" w14:paraId="26C2A821" w14:textId="29FE1270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F54" w14:textId="0CFAE183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696E5B7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176" w14:textId="7E25778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0AFF276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7996EBB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2DDE854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0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4CABE9E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-4,02</w:t>
            </w:r>
          </w:p>
        </w:tc>
      </w:tr>
      <w:tr w:rsidR="00FE4D27" w:rsidRPr="000668AF" w14:paraId="59833BB6" w14:textId="6274BE50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29" w14:textId="0FAA191D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57D06F2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CFAA" w14:textId="7E68211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7A393F7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0143F44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26FEDEA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1AB0492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FE4D27" w:rsidRPr="000668AF" w14:paraId="6D5F4396" w14:textId="5CD1DA00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0B921BB2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0691CF1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4" w14:textId="7BC9F9C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77F2D05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392E9AA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4BEF545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3782F0A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FE4D27" w:rsidRPr="000668AF" w14:paraId="74A8A34A" w14:textId="4A0B3CE9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EEB" w14:textId="7F3D2AF1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0F3975B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624" w14:textId="0E7FDE00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35583F1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157852A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-6,32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4408BF7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1EA530E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-3,26</w:t>
            </w:r>
          </w:p>
        </w:tc>
      </w:tr>
      <w:tr w:rsidR="00FE4D27" w:rsidRPr="000668AF" w14:paraId="4E77BB3D" w14:textId="0043825C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96A" w14:textId="68A550FD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1BE1BA6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C6D5" w14:textId="5A745AF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425232D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66750D90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339634A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246E3D90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-6,25</w:t>
            </w:r>
          </w:p>
        </w:tc>
      </w:tr>
      <w:tr w:rsidR="00FE4D27" w:rsidRPr="000668AF" w14:paraId="071F9123" w14:textId="19367CD4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208" w14:textId="2920FA6A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528FF0F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7B3" w14:textId="3CD2EC6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343C89D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117FDBDD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-0,92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712264F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4F87E34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-1,93</w:t>
            </w:r>
          </w:p>
        </w:tc>
      </w:tr>
      <w:tr w:rsidR="00FE4D27" w:rsidRPr="000668AF" w14:paraId="319AC376" w14:textId="7ABC3A0E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E83" w14:textId="71337BB0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1A2D745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B9" w14:textId="02C4257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2B26A70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04E1C28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63EFB35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7DC000B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-2,50</w:t>
            </w:r>
          </w:p>
        </w:tc>
      </w:tr>
      <w:tr w:rsidR="00FE4D27" w:rsidRPr="000668AF" w14:paraId="6EA19076" w14:textId="1DB89E8B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35" w14:textId="5F1CFE34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605DCEF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48D" w14:textId="39DE8F0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49E7A2AD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5658A3F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2197CBE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5776DA40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FE4D27" w:rsidRPr="000668AF" w14:paraId="41433902" w14:textId="046802C8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8E1" w14:textId="7651070D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0DF6568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39A" w14:textId="2A2244A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059FA7F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58FB529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3C9D77D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000AC03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FE4D27" w:rsidRPr="000668AF" w14:paraId="23132593" w14:textId="7AD2C665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0AD" w14:textId="1D8868B9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37412D5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E64" w14:textId="7FB1B41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377D647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6083D23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3C247D2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5EE2B7C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FE4D27" w:rsidRPr="000668AF" w14:paraId="3D8F6673" w14:textId="3F4BC9C1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B06" w14:textId="1526435F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63203F1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2E2" w14:textId="5F56608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3AB05ED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1B338EB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23F6BAD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4B6A214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FE4D27" w:rsidRPr="000668AF" w14:paraId="439B6F86" w14:textId="42B2CC58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7AD" w14:textId="77F355E5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097C6B5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275D" w14:textId="0FC2A950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418B2E2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13758E9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1FEB1DB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19DF51B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-3,08</w:t>
            </w:r>
          </w:p>
        </w:tc>
      </w:tr>
      <w:tr w:rsidR="00FE4D27" w:rsidRPr="000668AF" w14:paraId="5A1CC7E0" w14:textId="52276DF5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C3E" w14:textId="4D332FD8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6C59B2E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993" w14:textId="39E61C5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274FA73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35CE9D8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527D445D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2AB4903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</w:tr>
      <w:tr w:rsidR="00FE4D27" w:rsidRPr="000668AF" w14:paraId="624C1B67" w14:textId="5B0E7111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3FBF62D6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4CD2DBE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1E7" w14:textId="4BDAB50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6C0D14B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4CE0E46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6AA6621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0C0DC1B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-3,59</w:t>
            </w:r>
          </w:p>
        </w:tc>
      </w:tr>
      <w:tr w:rsidR="00FE4D27" w:rsidRPr="000668AF" w14:paraId="415954BF" w14:textId="74713BBD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7EB" w14:textId="2C3F7EC4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03140959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757" w14:textId="205FFC4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06CCFCD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010BC36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3B5337D4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0291A6D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-1,30</w:t>
            </w:r>
          </w:p>
        </w:tc>
      </w:tr>
      <w:tr w:rsidR="00FE4D27" w:rsidRPr="000668AF" w14:paraId="45B4A8A8" w14:textId="3F55E19D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0668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4B9" w14:textId="1AEEE292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3FF4EEBE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02E" w14:textId="1D5DF9C0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28B98D5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716F641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5960E83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75B9F9B8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-1,35</w:t>
            </w:r>
          </w:p>
        </w:tc>
      </w:tr>
      <w:tr w:rsidR="00FE4D27" w:rsidRPr="000668AF" w14:paraId="010F869E" w14:textId="038320B3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110" w14:textId="5976CBCF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35D7F530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E5EC" w14:textId="3942F8F1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7AAE035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00C26E2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3E09AB42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13FBE6E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</w:tr>
      <w:tr w:rsidR="00FE4D27" w:rsidRPr="000668AF" w14:paraId="159FA335" w14:textId="237DEB30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FE4D27" w:rsidRPr="000668AF" w:rsidRDefault="00FE4D27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CF7" w14:textId="3D75BD0F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6839021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CB2" w14:textId="5955063F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20202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41D7299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7663DD6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-0,66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70326853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58D92E2A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FE4D27" w:rsidRPr="000668AF" w14:paraId="1D90F2CC" w14:textId="425D755B" w:rsidTr="0093379B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F39880" w14:textId="20FB4A49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2F0352A2" w:rsidR="00FE4D27" w:rsidRPr="000668AF" w:rsidRDefault="00FE4D27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3B044EF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70C5152C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53CA3DD5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-0,10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10B2F02B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3BB468A7" w:rsidR="00FE4D27" w:rsidRPr="000668AF" w:rsidRDefault="00FE4D27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8AF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</w:tbl>
    <w:p w14:paraId="48359B18" w14:textId="77777777" w:rsidR="001268AC" w:rsidRPr="000668AF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0668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68609855" w14:textId="77777777" w:rsidR="00233DC9" w:rsidRPr="00FE4D27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39F09" w14:textId="75253003" w:rsidR="00236BF8" w:rsidRPr="00FE4D27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D2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FE4D27">
        <w:rPr>
          <w:rFonts w:ascii="Times New Roman" w:hAnsi="Times New Roman" w:cs="Times New Roman"/>
          <w:sz w:val="24"/>
          <w:szCs w:val="24"/>
        </w:rPr>
        <w:t>МСП</w:t>
      </w:r>
      <w:r w:rsidRPr="00FE4D2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FE4D27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FE4D2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FE4D27">
        <w:rPr>
          <w:rFonts w:ascii="Times New Roman" w:hAnsi="Times New Roman" w:cs="Times New Roman"/>
          <w:sz w:val="24"/>
          <w:szCs w:val="24"/>
        </w:rPr>
        <w:t xml:space="preserve">с </w:t>
      </w:r>
      <w:r w:rsidR="001268AC" w:rsidRPr="00FE4D27">
        <w:rPr>
          <w:rFonts w:ascii="Times New Roman" w:hAnsi="Times New Roman" w:cs="Times New Roman"/>
          <w:sz w:val="24"/>
          <w:szCs w:val="24"/>
        </w:rPr>
        <w:t xml:space="preserve">января 2023 года по </w:t>
      </w:r>
      <w:r w:rsidR="00FE4D27" w:rsidRPr="00FE4D27">
        <w:rPr>
          <w:rFonts w:ascii="Times New Roman" w:hAnsi="Times New Roman" w:cs="Times New Roman"/>
          <w:sz w:val="24"/>
          <w:szCs w:val="24"/>
        </w:rPr>
        <w:t>ноябрь</w:t>
      </w:r>
      <w:r w:rsidR="001268AC" w:rsidRPr="00FE4D2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FE4D27">
        <w:rPr>
          <w:rFonts w:ascii="Times New Roman" w:hAnsi="Times New Roman" w:cs="Times New Roman"/>
          <w:sz w:val="24"/>
          <w:szCs w:val="24"/>
        </w:rPr>
        <w:t>2023 г.</w:t>
      </w:r>
      <w:r w:rsidR="00236BF8" w:rsidRPr="00FE4D27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FE4D27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FE4D27">
        <w:rPr>
          <w:rFonts w:ascii="Times New Roman" w:hAnsi="Times New Roman" w:cs="Times New Roman"/>
          <w:sz w:val="24"/>
          <w:szCs w:val="24"/>
        </w:rPr>
        <w:t xml:space="preserve"> </w:t>
      </w:r>
      <w:r w:rsidR="00C3060E" w:rsidRPr="00FE4D27">
        <w:rPr>
          <w:rFonts w:ascii="Times New Roman" w:hAnsi="Times New Roman" w:cs="Times New Roman"/>
          <w:sz w:val="24"/>
          <w:szCs w:val="24"/>
        </w:rPr>
        <w:t>4,</w:t>
      </w:r>
      <w:r w:rsidR="00FE4D27" w:rsidRPr="00FE4D27">
        <w:rPr>
          <w:rFonts w:ascii="Times New Roman" w:hAnsi="Times New Roman" w:cs="Times New Roman"/>
          <w:sz w:val="24"/>
          <w:szCs w:val="24"/>
        </w:rPr>
        <w:t>55</w:t>
      </w:r>
      <w:r w:rsidR="008D0333" w:rsidRPr="00FE4D27">
        <w:rPr>
          <w:rFonts w:ascii="Times New Roman" w:hAnsi="Times New Roman" w:cs="Times New Roman"/>
          <w:sz w:val="24"/>
          <w:szCs w:val="24"/>
        </w:rPr>
        <w:t>% (</w:t>
      </w:r>
      <w:r w:rsidR="00C3060E" w:rsidRPr="00FE4D27">
        <w:rPr>
          <w:rFonts w:ascii="Times New Roman" w:hAnsi="Times New Roman" w:cs="Times New Roman"/>
          <w:sz w:val="24"/>
          <w:szCs w:val="24"/>
        </w:rPr>
        <w:t>2</w:t>
      </w:r>
      <w:r w:rsidR="00FE4D27" w:rsidRPr="00FE4D27">
        <w:rPr>
          <w:rFonts w:ascii="Times New Roman" w:hAnsi="Times New Roman" w:cs="Times New Roman"/>
          <w:sz w:val="24"/>
          <w:szCs w:val="24"/>
        </w:rPr>
        <w:t>9</w:t>
      </w:r>
      <w:r w:rsidRPr="00FE4D27">
        <w:rPr>
          <w:rFonts w:ascii="Times New Roman" w:hAnsi="Times New Roman" w:cs="Times New Roman"/>
          <w:sz w:val="24"/>
          <w:szCs w:val="24"/>
        </w:rPr>
        <w:t xml:space="preserve"> ед</w:t>
      </w:r>
      <w:r w:rsidR="00236BF8" w:rsidRPr="00FE4D27">
        <w:rPr>
          <w:rFonts w:ascii="Times New Roman" w:hAnsi="Times New Roman" w:cs="Times New Roman"/>
          <w:sz w:val="24"/>
          <w:szCs w:val="24"/>
        </w:rPr>
        <w:t>иниц</w:t>
      </w:r>
      <w:r w:rsidRPr="00FE4D27">
        <w:rPr>
          <w:rFonts w:ascii="Times New Roman" w:hAnsi="Times New Roman" w:cs="Times New Roman"/>
          <w:sz w:val="24"/>
          <w:szCs w:val="24"/>
        </w:rPr>
        <w:t>)</w:t>
      </w:r>
      <w:r w:rsidR="00236BF8" w:rsidRPr="00FE4D27">
        <w:rPr>
          <w:rFonts w:ascii="Times New Roman" w:hAnsi="Times New Roman" w:cs="Times New Roman"/>
          <w:sz w:val="24"/>
          <w:szCs w:val="24"/>
        </w:rPr>
        <w:t>.</w:t>
      </w:r>
    </w:p>
    <w:p w14:paraId="5DC71A2C" w14:textId="6710C4FE" w:rsidR="00AD391D" w:rsidRPr="00A35FD1" w:rsidRDefault="00AD391D" w:rsidP="00AD3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BF6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</w:t>
      </w:r>
      <w:r w:rsidRPr="00C224D3">
        <w:rPr>
          <w:rFonts w:ascii="Times New Roman" w:hAnsi="Times New Roman" w:cs="Times New Roman"/>
          <w:sz w:val="24"/>
          <w:szCs w:val="24"/>
        </w:rPr>
        <w:t xml:space="preserve">муниципальных образований Смоленской области с </w:t>
      </w:r>
      <w:r w:rsidRPr="00A35FD1">
        <w:rPr>
          <w:rFonts w:ascii="Times New Roman" w:hAnsi="Times New Roman" w:cs="Times New Roman"/>
          <w:sz w:val="24"/>
          <w:szCs w:val="24"/>
        </w:rPr>
        <w:t xml:space="preserve">начала 2023 года количество субъектов МСП увеличилось в </w:t>
      </w:r>
      <w:r w:rsidR="00C224D3" w:rsidRPr="00A35FD1">
        <w:rPr>
          <w:rFonts w:ascii="Times New Roman" w:hAnsi="Times New Roman" w:cs="Times New Roman"/>
          <w:sz w:val="24"/>
          <w:szCs w:val="24"/>
        </w:rPr>
        <w:t>10</w:t>
      </w:r>
      <w:r w:rsidRPr="00A35FD1">
        <w:rPr>
          <w:rFonts w:ascii="Times New Roman" w:hAnsi="Times New Roman" w:cs="Times New Roman"/>
          <w:sz w:val="24"/>
          <w:szCs w:val="24"/>
        </w:rPr>
        <w:t xml:space="preserve"> (Смоленский +</w:t>
      </w:r>
      <w:r w:rsidR="00C224D3" w:rsidRPr="00A35FD1">
        <w:rPr>
          <w:rFonts w:ascii="Times New Roman" w:hAnsi="Times New Roman" w:cs="Times New Roman"/>
          <w:sz w:val="24"/>
          <w:szCs w:val="24"/>
        </w:rPr>
        <w:t>159</w:t>
      </w:r>
      <w:r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24D3" w:rsidRPr="00A35FD1">
        <w:rPr>
          <w:rFonts w:ascii="Times New Roman" w:hAnsi="Times New Roman" w:cs="Times New Roman"/>
          <w:sz w:val="24"/>
          <w:szCs w:val="24"/>
        </w:rPr>
        <w:t>6,63</w:t>
      </w:r>
      <w:r w:rsidRPr="00A35FD1">
        <w:rPr>
          <w:rFonts w:ascii="Times New Roman" w:hAnsi="Times New Roman" w:cs="Times New Roman"/>
          <w:sz w:val="24"/>
          <w:szCs w:val="24"/>
        </w:rPr>
        <w:t>%; Гагаринский +</w:t>
      </w:r>
      <w:r w:rsidR="00C224D3" w:rsidRPr="00A35FD1">
        <w:rPr>
          <w:rFonts w:ascii="Times New Roman" w:hAnsi="Times New Roman" w:cs="Times New Roman"/>
          <w:sz w:val="24"/>
          <w:szCs w:val="24"/>
        </w:rPr>
        <w:t>58</w:t>
      </w:r>
      <w:r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24D3" w:rsidRPr="00A35FD1">
        <w:rPr>
          <w:rFonts w:ascii="Times New Roman" w:hAnsi="Times New Roman" w:cs="Times New Roman"/>
          <w:sz w:val="24"/>
          <w:szCs w:val="24"/>
        </w:rPr>
        <w:t>4,12</w:t>
      </w:r>
      <w:r w:rsidRPr="00A35FD1"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 w:rsidR="00C224D3" w:rsidRPr="00A35FD1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C224D3" w:rsidRPr="00A35FD1">
        <w:rPr>
          <w:rFonts w:ascii="Times New Roman" w:hAnsi="Times New Roman" w:cs="Times New Roman"/>
          <w:sz w:val="24"/>
          <w:szCs w:val="24"/>
        </w:rPr>
        <w:t xml:space="preserve"> +27 ед. или 1,76%; </w:t>
      </w:r>
      <w:proofErr w:type="spellStart"/>
      <w:r w:rsidR="00C224D3" w:rsidRPr="00A35FD1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C224D3" w:rsidRPr="00A35FD1">
        <w:rPr>
          <w:rFonts w:ascii="Times New Roman" w:hAnsi="Times New Roman" w:cs="Times New Roman"/>
          <w:sz w:val="24"/>
          <w:szCs w:val="24"/>
        </w:rPr>
        <w:t xml:space="preserve"> +</w:t>
      </w:r>
      <w:r w:rsidR="00C224D3" w:rsidRPr="00A35FD1">
        <w:rPr>
          <w:rFonts w:ascii="Times New Roman" w:hAnsi="Times New Roman" w:cs="Times New Roman"/>
          <w:sz w:val="24"/>
          <w:szCs w:val="24"/>
        </w:rPr>
        <w:t>12</w:t>
      </w:r>
      <w:r w:rsidR="00C224D3"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24D3" w:rsidRPr="00A35FD1">
        <w:rPr>
          <w:rFonts w:ascii="Times New Roman" w:hAnsi="Times New Roman" w:cs="Times New Roman"/>
          <w:sz w:val="24"/>
          <w:szCs w:val="24"/>
        </w:rPr>
        <w:t>6,82</w:t>
      </w:r>
      <w:r w:rsidR="00C224D3" w:rsidRPr="00A35FD1">
        <w:rPr>
          <w:rFonts w:ascii="Times New Roman" w:hAnsi="Times New Roman" w:cs="Times New Roman"/>
          <w:sz w:val="24"/>
          <w:szCs w:val="24"/>
        </w:rPr>
        <w:t xml:space="preserve">%; </w:t>
      </w:r>
      <w:r w:rsidR="00C224D3" w:rsidRPr="00A35FD1">
        <w:rPr>
          <w:rFonts w:ascii="Times New Roman" w:hAnsi="Times New Roman" w:cs="Times New Roman"/>
          <w:sz w:val="24"/>
          <w:szCs w:val="24"/>
        </w:rPr>
        <w:t xml:space="preserve">Вяземский +9 ед. или 0,38%; </w:t>
      </w:r>
      <w:proofErr w:type="spellStart"/>
      <w:r w:rsidR="00C224D3" w:rsidRPr="00A35FD1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C224D3" w:rsidRPr="00A35FD1">
        <w:rPr>
          <w:rFonts w:ascii="Times New Roman" w:hAnsi="Times New Roman" w:cs="Times New Roman"/>
          <w:sz w:val="24"/>
          <w:szCs w:val="24"/>
        </w:rPr>
        <w:t xml:space="preserve"> +</w:t>
      </w:r>
      <w:r w:rsidR="00C224D3" w:rsidRPr="00A35FD1">
        <w:rPr>
          <w:rFonts w:ascii="Times New Roman" w:hAnsi="Times New Roman" w:cs="Times New Roman"/>
          <w:sz w:val="24"/>
          <w:szCs w:val="24"/>
        </w:rPr>
        <w:t>6</w:t>
      </w:r>
      <w:r w:rsidR="00C224D3"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24D3" w:rsidRPr="00A35FD1">
        <w:rPr>
          <w:rFonts w:ascii="Times New Roman" w:hAnsi="Times New Roman" w:cs="Times New Roman"/>
          <w:sz w:val="24"/>
          <w:szCs w:val="24"/>
        </w:rPr>
        <w:t>3,21</w:t>
      </w:r>
      <w:r w:rsidR="00C224D3" w:rsidRPr="00A35FD1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="00C224D3" w:rsidRPr="00A3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FD1">
        <w:rPr>
          <w:rFonts w:ascii="Times New Roman" w:hAnsi="Times New Roman" w:cs="Times New Roman"/>
          <w:sz w:val="24"/>
          <w:szCs w:val="24"/>
        </w:rPr>
        <w:t>Демидовский +</w:t>
      </w:r>
      <w:r w:rsidR="00C224D3" w:rsidRPr="00A35FD1">
        <w:rPr>
          <w:rFonts w:ascii="Times New Roman" w:hAnsi="Times New Roman" w:cs="Times New Roman"/>
          <w:sz w:val="24"/>
          <w:szCs w:val="24"/>
        </w:rPr>
        <w:t>4</w:t>
      </w:r>
      <w:r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24D3" w:rsidRPr="00A35FD1">
        <w:rPr>
          <w:rFonts w:ascii="Times New Roman" w:hAnsi="Times New Roman" w:cs="Times New Roman"/>
          <w:sz w:val="24"/>
          <w:szCs w:val="24"/>
        </w:rPr>
        <w:t>1,37</w:t>
      </w:r>
      <w:r w:rsidRPr="00A35FD1"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 w:rsidRPr="00A35FD1">
        <w:rPr>
          <w:rFonts w:ascii="Times New Roman" w:hAnsi="Times New Roman" w:cs="Times New Roman"/>
          <w:sz w:val="24"/>
          <w:szCs w:val="24"/>
        </w:rPr>
        <w:t>Темкинский</w:t>
      </w:r>
      <w:proofErr w:type="spellEnd"/>
      <w:r w:rsidRPr="00A35FD1">
        <w:rPr>
          <w:rFonts w:ascii="Times New Roman" w:hAnsi="Times New Roman" w:cs="Times New Roman"/>
          <w:sz w:val="24"/>
          <w:szCs w:val="24"/>
        </w:rPr>
        <w:t xml:space="preserve"> +</w:t>
      </w:r>
      <w:r w:rsidR="00A35FD1" w:rsidRPr="00A35FD1">
        <w:rPr>
          <w:rFonts w:ascii="Times New Roman" w:hAnsi="Times New Roman" w:cs="Times New Roman"/>
          <w:sz w:val="24"/>
          <w:szCs w:val="24"/>
        </w:rPr>
        <w:t>1</w:t>
      </w:r>
      <w:r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35FD1" w:rsidRPr="00A35FD1">
        <w:rPr>
          <w:rFonts w:ascii="Times New Roman" w:hAnsi="Times New Roman" w:cs="Times New Roman"/>
          <w:sz w:val="24"/>
          <w:szCs w:val="24"/>
        </w:rPr>
        <w:t>0,74</w:t>
      </w:r>
      <w:r w:rsidRPr="00A35FD1"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 w:rsidRPr="00A35FD1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A35FD1">
        <w:rPr>
          <w:rFonts w:ascii="Times New Roman" w:hAnsi="Times New Roman" w:cs="Times New Roman"/>
          <w:sz w:val="24"/>
          <w:szCs w:val="24"/>
        </w:rPr>
        <w:t xml:space="preserve"> +</w:t>
      </w:r>
      <w:r w:rsidR="00A35FD1" w:rsidRPr="00A35FD1">
        <w:rPr>
          <w:rFonts w:ascii="Times New Roman" w:hAnsi="Times New Roman" w:cs="Times New Roman"/>
          <w:sz w:val="24"/>
          <w:szCs w:val="24"/>
        </w:rPr>
        <w:t>3</w:t>
      </w:r>
      <w:r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35FD1" w:rsidRPr="00A35FD1">
        <w:rPr>
          <w:rFonts w:ascii="Times New Roman" w:hAnsi="Times New Roman" w:cs="Times New Roman"/>
          <w:sz w:val="24"/>
          <w:szCs w:val="24"/>
        </w:rPr>
        <w:t>1,24</w:t>
      </w:r>
      <w:r w:rsidRPr="00A35FD1">
        <w:rPr>
          <w:rFonts w:ascii="Times New Roman" w:hAnsi="Times New Roman" w:cs="Times New Roman"/>
          <w:sz w:val="24"/>
          <w:szCs w:val="24"/>
        </w:rPr>
        <w:t>% районы и г. Десногорск +</w:t>
      </w:r>
      <w:r w:rsidR="00A35FD1" w:rsidRPr="00A35FD1">
        <w:rPr>
          <w:rFonts w:ascii="Times New Roman" w:hAnsi="Times New Roman" w:cs="Times New Roman"/>
          <w:sz w:val="24"/>
          <w:szCs w:val="24"/>
        </w:rPr>
        <w:t>3 ед. или 0,56</w:t>
      </w:r>
      <w:r w:rsidRPr="00A35FD1">
        <w:rPr>
          <w:rFonts w:ascii="Times New Roman" w:hAnsi="Times New Roman" w:cs="Times New Roman"/>
          <w:sz w:val="24"/>
          <w:szCs w:val="24"/>
        </w:rPr>
        <w:t xml:space="preserve">%); в остальных 17 </w:t>
      </w:r>
      <w:r w:rsidR="00A35FD1" w:rsidRPr="00A35FD1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A35FD1">
        <w:rPr>
          <w:rFonts w:ascii="Times New Roman" w:hAnsi="Times New Roman" w:cs="Times New Roman"/>
          <w:sz w:val="24"/>
          <w:szCs w:val="24"/>
        </w:rPr>
        <w:t>отмечено снижение числа зарегистрированных субъектов МСП.</w:t>
      </w:r>
      <w:proofErr w:type="gramEnd"/>
      <w:r w:rsidRPr="00A35FD1">
        <w:rPr>
          <w:rFonts w:ascii="Times New Roman" w:hAnsi="Times New Roman" w:cs="Times New Roman"/>
          <w:sz w:val="24"/>
          <w:szCs w:val="24"/>
        </w:rPr>
        <w:t xml:space="preserve"> Наибольшее снижение – в </w:t>
      </w:r>
      <w:proofErr w:type="spellStart"/>
      <w:r w:rsidRPr="00A35FD1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Pr="00A35FD1">
        <w:rPr>
          <w:rFonts w:ascii="Times New Roman" w:hAnsi="Times New Roman" w:cs="Times New Roman"/>
          <w:sz w:val="24"/>
          <w:szCs w:val="24"/>
        </w:rPr>
        <w:t xml:space="preserve"> (-8 ед. или 8,42%), </w:t>
      </w:r>
      <w:proofErr w:type="spellStart"/>
      <w:r w:rsidR="00A35FD1" w:rsidRPr="00A35FD1">
        <w:rPr>
          <w:rFonts w:ascii="Times New Roman" w:hAnsi="Times New Roman" w:cs="Times New Roman"/>
          <w:sz w:val="24"/>
          <w:szCs w:val="24"/>
        </w:rPr>
        <w:t>Угранском</w:t>
      </w:r>
      <w:proofErr w:type="spellEnd"/>
      <w:r w:rsidR="00A35FD1" w:rsidRPr="00A35FD1">
        <w:rPr>
          <w:rFonts w:ascii="Times New Roman" w:hAnsi="Times New Roman" w:cs="Times New Roman"/>
          <w:sz w:val="24"/>
          <w:szCs w:val="24"/>
        </w:rPr>
        <w:t xml:space="preserve"> (-12 ед. ил 4,55</w:t>
      </w:r>
      <w:r w:rsidRPr="00A35FD1">
        <w:rPr>
          <w:rFonts w:ascii="Times New Roman" w:hAnsi="Times New Roman" w:cs="Times New Roman"/>
          <w:sz w:val="24"/>
          <w:szCs w:val="24"/>
        </w:rPr>
        <w:t>),</w:t>
      </w:r>
      <w:r w:rsidR="00A35FD1" w:rsidRPr="00A3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FD1" w:rsidRPr="00A35FD1"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 w:rsidR="00A35FD1" w:rsidRPr="00A35FD1">
        <w:rPr>
          <w:rFonts w:ascii="Times New Roman" w:hAnsi="Times New Roman" w:cs="Times New Roman"/>
          <w:sz w:val="24"/>
          <w:szCs w:val="24"/>
        </w:rPr>
        <w:t xml:space="preserve"> (-29 ед. ил 4,55</w:t>
      </w:r>
      <w:r w:rsidRPr="00A35FD1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A35FD1" w:rsidRPr="00A35FD1">
        <w:rPr>
          <w:rFonts w:ascii="Times New Roman" w:hAnsi="Times New Roman" w:cs="Times New Roman"/>
          <w:sz w:val="24"/>
          <w:szCs w:val="24"/>
        </w:rPr>
        <w:t>Кардымовском</w:t>
      </w:r>
      <w:proofErr w:type="spellEnd"/>
      <w:r w:rsidR="00A35FD1" w:rsidRPr="00A35FD1">
        <w:rPr>
          <w:rFonts w:ascii="Times New Roman" w:hAnsi="Times New Roman" w:cs="Times New Roman"/>
          <w:sz w:val="24"/>
          <w:szCs w:val="24"/>
        </w:rPr>
        <w:t xml:space="preserve"> (-10 ед. или 4,02%), </w:t>
      </w:r>
      <w:proofErr w:type="spellStart"/>
      <w:r w:rsidR="00A35FD1" w:rsidRPr="00A35FD1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 w:rsidR="00A35FD1" w:rsidRPr="00A35FD1">
        <w:rPr>
          <w:rFonts w:ascii="Times New Roman" w:hAnsi="Times New Roman" w:cs="Times New Roman"/>
          <w:sz w:val="24"/>
          <w:szCs w:val="24"/>
        </w:rPr>
        <w:t xml:space="preserve"> (-</w:t>
      </w:r>
      <w:r w:rsidR="00A35FD1" w:rsidRPr="00A35FD1">
        <w:rPr>
          <w:rFonts w:ascii="Times New Roman" w:hAnsi="Times New Roman" w:cs="Times New Roman"/>
          <w:sz w:val="24"/>
          <w:szCs w:val="24"/>
        </w:rPr>
        <w:t>19</w:t>
      </w:r>
      <w:r w:rsidR="00A35FD1"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35FD1" w:rsidRPr="00A35FD1">
        <w:rPr>
          <w:rFonts w:ascii="Times New Roman" w:hAnsi="Times New Roman" w:cs="Times New Roman"/>
          <w:sz w:val="24"/>
          <w:szCs w:val="24"/>
        </w:rPr>
        <w:t>3,23</w:t>
      </w:r>
      <w:r w:rsidR="00A35FD1" w:rsidRPr="00A35FD1">
        <w:rPr>
          <w:rFonts w:ascii="Times New Roman" w:hAnsi="Times New Roman" w:cs="Times New Roman"/>
          <w:sz w:val="24"/>
          <w:szCs w:val="24"/>
        </w:rPr>
        <w:t xml:space="preserve">%) </w:t>
      </w:r>
      <w:r w:rsidR="00A35FD1" w:rsidRPr="00A35F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35FD1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Pr="00A35FD1">
        <w:rPr>
          <w:rFonts w:ascii="Times New Roman" w:hAnsi="Times New Roman" w:cs="Times New Roman"/>
          <w:sz w:val="24"/>
          <w:szCs w:val="24"/>
        </w:rPr>
        <w:t xml:space="preserve"> (-</w:t>
      </w:r>
      <w:r w:rsidR="00A35FD1" w:rsidRPr="00A35FD1">
        <w:rPr>
          <w:rFonts w:ascii="Times New Roman" w:hAnsi="Times New Roman" w:cs="Times New Roman"/>
          <w:sz w:val="24"/>
          <w:szCs w:val="24"/>
        </w:rPr>
        <w:t>26</w:t>
      </w:r>
      <w:r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35FD1" w:rsidRPr="00A35FD1">
        <w:rPr>
          <w:rFonts w:ascii="Times New Roman" w:hAnsi="Times New Roman" w:cs="Times New Roman"/>
          <w:sz w:val="24"/>
          <w:szCs w:val="24"/>
        </w:rPr>
        <w:t>3,08</w:t>
      </w:r>
      <w:r w:rsidRPr="00A35FD1">
        <w:rPr>
          <w:rFonts w:ascii="Times New Roman" w:hAnsi="Times New Roman" w:cs="Times New Roman"/>
          <w:sz w:val="24"/>
          <w:szCs w:val="24"/>
        </w:rPr>
        <w:t>%) районах.</w:t>
      </w:r>
    </w:p>
    <w:p w14:paraId="41389E3E" w14:textId="77777777" w:rsidR="001268AC" w:rsidRPr="00A35FD1" w:rsidRDefault="001268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5C022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362D4E" w14:textId="77777777" w:rsidR="00C224D3" w:rsidRPr="007D6926" w:rsidRDefault="00C224D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8D5DC" w14:textId="77777777" w:rsidR="00062997" w:rsidRPr="007D6926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DB9B9" w14:textId="77777777" w:rsidR="00062997" w:rsidRPr="00607EE1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58587" w14:textId="77777777" w:rsidR="009134BF" w:rsidRPr="00B90D01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90D01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B90D01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B90D01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90D01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B90D01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B90D01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B90D01" w:rsidRPr="00B90D01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B90D0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58AA6C0C" w:rsidR="00CF6E7A" w:rsidRPr="00B90D01" w:rsidRDefault="00CF6E7A" w:rsidP="00E25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253AD"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B90D0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1EA9DACE" w:rsidR="00CF6E7A" w:rsidRPr="00B90D01" w:rsidRDefault="00CF6E7A" w:rsidP="00E25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253AD"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90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B90D0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B90D0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B90D0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B90D0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B90D01" w:rsidRPr="00B90D01" w14:paraId="57E58377" w14:textId="77777777" w:rsidTr="00AB5444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B90D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7D99DFE2" w:rsidR="00E83947" w:rsidRPr="00B90D01" w:rsidRDefault="001B2E6F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="00287E88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6D0C7BA4" w:rsidR="00E8394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2B70146" w:rsidR="00E83947" w:rsidRPr="00B90D01" w:rsidRDefault="00481D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3EF718D7" w:rsidR="00E83947" w:rsidRPr="00B90D01" w:rsidRDefault="001B2E6F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794B3DFE" w:rsidR="00E83947" w:rsidRPr="00B90D01" w:rsidRDefault="009466DD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10,33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A4EA2D4" w:rsidR="00E83947" w:rsidRPr="00B90D01" w:rsidRDefault="00AB5444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81C1D7B" w:rsidR="00E83947" w:rsidRPr="00B90D01" w:rsidRDefault="001B2E6F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8,84</w:t>
            </w:r>
            <w:r w:rsidR="009F19DE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90D01" w:rsidRPr="00B90D01" w14:paraId="121E7348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B90D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1064B8D2" w:rsidR="00E83947" w:rsidRPr="00B90D01" w:rsidRDefault="00062997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87E88" w:rsidRPr="00B90D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394C263" w:rsidR="00E8394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97A4507" w:rsidR="00E83947" w:rsidRPr="00B90D01" w:rsidRDefault="00481D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5AD49E54" w:rsidR="00E83947" w:rsidRPr="00B90D01" w:rsidRDefault="009466DD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97609" w:rsidRPr="00B90D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78DA95A4" w:rsidR="00E83947" w:rsidRPr="00B90D01" w:rsidRDefault="009466DD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10,06%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395F09D8" w:rsidR="00E83947" w:rsidRPr="00B90D01" w:rsidRDefault="00AB5444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1F8C0324" w:rsidR="00E83947" w:rsidRPr="00B90D01" w:rsidRDefault="009F19DE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90D01" w:rsidRPr="00B90D01" w14:paraId="6970ABE2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B5444" w:rsidRPr="00B90D01" w:rsidRDefault="00AB5444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AB5444" w:rsidRPr="00B90D01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0CF22589" w:rsidR="00AB5444" w:rsidRPr="00B90D01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0C1E4FA" w:rsidR="00AB5444" w:rsidRPr="00B90D01" w:rsidRDefault="00481D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652D1EF4" w:rsidR="00AB5444" w:rsidRPr="00B90D01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74AB9AED" w:rsidR="00AB5444" w:rsidRPr="00B90D01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-14,29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00BEC85" w:rsidR="00AB5444" w:rsidRPr="00B90D01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4CF0BB29" w:rsidR="00AB5444" w:rsidRPr="00B90D01" w:rsidRDefault="009F19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-14,29%</w:t>
            </w:r>
          </w:p>
        </w:tc>
      </w:tr>
      <w:tr w:rsidR="00B90D01" w:rsidRPr="00B90D01" w14:paraId="4252ABF6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062997" w:rsidRPr="00B90D01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096BCE1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7F28B562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C36530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E0DD48D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73A0178F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B90D01" w:rsidRPr="00B90D01" w14:paraId="4A90FAE4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B90D01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0536452A" w:rsidR="00E83947" w:rsidRPr="00B90D01" w:rsidRDefault="00287E8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2429E4B0" w:rsidR="00E8394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26F1B335" w:rsidR="00E83947" w:rsidRPr="00B90D01" w:rsidRDefault="004979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37E4DB5" w:rsidR="00E83947" w:rsidRPr="00B90D01" w:rsidRDefault="009466DD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1B2E6F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76637B18" w:rsidR="00E83947" w:rsidRPr="00B90D01" w:rsidRDefault="00F43E7F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1B2E6F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2,20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030DADDF" w:rsidR="00E83947" w:rsidRPr="00B90D01" w:rsidRDefault="00AB5444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17D58CC1" w:rsidR="00E83947" w:rsidRPr="00B90D01" w:rsidRDefault="009F19DE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3,48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90D01" w:rsidRPr="00B90D01" w14:paraId="02DA626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B90D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6476264E" w:rsidR="00E83947" w:rsidRPr="00B90D01" w:rsidRDefault="001B2E6F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287E88" w:rsidRPr="00B90D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AE87F69" w:rsidR="00E8394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0FA30F82" w:rsidR="00E83947" w:rsidRPr="00B90D01" w:rsidRDefault="004979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614F5C82" w:rsidR="00E83947" w:rsidRPr="00B90D01" w:rsidRDefault="009466DD" w:rsidP="00547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547691"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61763171" w:rsidR="00E83947" w:rsidRPr="00B90D01" w:rsidRDefault="00C27D2C" w:rsidP="00547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7691" w:rsidRPr="00B90D01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7C9AC23A" w:rsidR="00E83947" w:rsidRPr="00B90D01" w:rsidRDefault="00AB5444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42766D25" w:rsidR="00E83947" w:rsidRPr="00B90D01" w:rsidRDefault="00684413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-3,</w:t>
            </w:r>
            <w:r w:rsidR="00761439" w:rsidRPr="00B90D0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90D01" w:rsidRPr="00B90D01" w14:paraId="1AECBC7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062997" w:rsidRPr="00B90D01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285D2111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FD84C2A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07EEC080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6D5BAEC9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14D4F60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B90D01" w:rsidRPr="00B90D01" w14:paraId="1FE2E167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062997" w:rsidRPr="00B90D01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17CA5DEC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A5204C6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8DEC47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6D071A1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75A40F6B" w:rsidR="00062997" w:rsidRPr="00B90D0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B90D01" w:rsidRPr="00B90D01" w14:paraId="6FCF6BCD" w14:textId="77777777" w:rsidTr="00AB5444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B90D0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3382C47F" w:rsidR="00E83947" w:rsidRPr="00B90D01" w:rsidRDefault="00926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1568790A" w:rsidR="00E83947" w:rsidRPr="00B90D01" w:rsidRDefault="00062997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5137237B" w:rsidR="00E83947" w:rsidRPr="00B90D01" w:rsidRDefault="00926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19A97F51" w:rsidR="00E83947" w:rsidRPr="00B90D01" w:rsidRDefault="00365515" w:rsidP="007614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97910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6143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1B747055" w:rsidR="00E83947" w:rsidRPr="00B90D01" w:rsidRDefault="00365515" w:rsidP="00520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97910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520BA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047B8B50" w:rsidR="00E83947" w:rsidRPr="00B90D01" w:rsidRDefault="00645D86" w:rsidP="00520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20BA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085E6772" w:rsidR="00E83947" w:rsidRPr="00B90D01" w:rsidRDefault="00645D86" w:rsidP="00520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20BA9"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4,99</w:t>
            </w:r>
            <w:r w:rsidRPr="00B90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</w:tbl>
    <w:p w14:paraId="4DA4D867" w14:textId="77777777" w:rsidR="00023068" w:rsidRPr="00B90D01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4E5FDA04" w:rsidR="00A94B42" w:rsidRPr="00B90D01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D01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012112" w:rsidRPr="00B90D01">
        <w:rPr>
          <w:rFonts w:ascii="Times New Roman" w:hAnsi="Times New Roman" w:cs="Times New Roman"/>
          <w:sz w:val="24"/>
          <w:szCs w:val="24"/>
        </w:rPr>
        <w:t>ноябрь</w:t>
      </w:r>
      <w:r w:rsidRPr="00B90D01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B90D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B90D01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Pr="00B90D01">
        <w:rPr>
          <w:rFonts w:ascii="Times New Roman" w:hAnsi="Times New Roman" w:cs="Times New Roman"/>
          <w:sz w:val="24"/>
          <w:szCs w:val="24"/>
        </w:rPr>
        <w:t>уменьшилось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 </w:t>
      </w:r>
      <w:r w:rsidRPr="00B90D01">
        <w:rPr>
          <w:rFonts w:ascii="Times New Roman" w:hAnsi="Times New Roman" w:cs="Times New Roman"/>
          <w:sz w:val="24"/>
          <w:szCs w:val="24"/>
        </w:rPr>
        <w:t xml:space="preserve">на </w:t>
      </w:r>
      <w:r w:rsidR="001B2E6F" w:rsidRPr="00B90D01">
        <w:rPr>
          <w:rFonts w:ascii="Times New Roman" w:hAnsi="Times New Roman" w:cs="Times New Roman"/>
          <w:sz w:val="24"/>
          <w:szCs w:val="24"/>
        </w:rPr>
        <w:t>1</w:t>
      </w:r>
      <w:r w:rsidR="00A32304" w:rsidRPr="00B90D01">
        <w:rPr>
          <w:rFonts w:ascii="Times New Roman" w:hAnsi="Times New Roman" w:cs="Times New Roman"/>
          <w:sz w:val="24"/>
          <w:szCs w:val="24"/>
        </w:rPr>
        <w:t>9</w:t>
      </w:r>
      <w:r w:rsidRPr="00B90D0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90D01">
        <w:rPr>
          <w:rFonts w:ascii="Times New Roman" w:hAnsi="Times New Roman" w:cs="Times New Roman"/>
          <w:sz w:val="24"/>
          <w:szCs w:val="24"/>
        </w:rPr>
        <w:t>(</w:t>
      </w:r>
      <w:r w:rsidRPr="00B90D01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на </w:t>
      </w:r>
      <w:r w:rsidR="00A32304" w:rsidRPr="00B90D01">
        <w:rPr>
          <w:rFonts w:ascii="Times New Roman" w:hAnsi="Times New Roman" w:cs="Times New Roman"/>
          <w:sz w:val="24"/>
          <w:szCs w:val="24"/>
        </w:rPr>
        <w:t>10,33</w:t>
      </w:r>
      <w:r w:rsidR="007B4174" w:rsidRPr="00B90D01">
        <w:rPr>
          <w:rFonts w:ascii="Times New Roman" w:hAnsi="Times New Roman" w:cs="Times New Roman"/>
          <w:sz w:val="24"/>
          <w:szCs w:val="24"/>
        </w:rPr>
        <w:t>%</w:t>
      </w:r>
      <w:r w:rsidRPr="00B90D01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B03B49" w:rsidRPr="00B90D01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90D01">
        <w:rPr>
          <w:rFonts w:ascii="Times New Roman" w:hAnsi="Times New Roman" w:cs="Times New Roman"/>
          <w:sz w:val="24"/>
          <w:szCs w:val="24"/>
        </w:rPr>
        <w:t xml:space="preserve">на </w:t>
      </w:r>
      <w:r w:rsidR="00AF185B" w:rsidRPr="00B90D01">
        <w:rPr>
          <w:rFonts w:ascii="Times New Roman" w:hAnsi="Times New Roman" w:cs="Times New Roman"/>
          <w:sz w:val="24"/>
          <w:szCs w:val="24"/>
        </w:rPr>
        <w:t>10</w:t>
      </w:r>
      <w:r w:rsidRPr="00B90D0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90D01">
        <w:rPr>
          <w:rFonts w:ascii="Times New Roman" w:hAnsi="Times New Roman" w:cs="Times New Roman"/>
          <w:sz w:val="24"/>
          <w:szCs w:val="24"/>
        </w:rPr>
        <w:t>(</w:t>
      </w:r>
      <w:r w:rsidRPr="00B90D01">
        <w:rPr>
          <w:rFonts w:ascii="Times New Roman" w:hAnsi="Times New Roman" w:cs="Times New Roman"/>
          <w:sz w:val="24"/>
          <w:szCs w:val="24"/>
        </w:rPr>
        <w:t>или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 на</w:t>
      </w:r>
      <w:r w:rsidRPr="00B90D01">
        <w:rPr>
          <w:rFonts w:ascii="Times New Roman" w:hAnsi="Times New Roman" w:cs="Times New Roman"/>
          <w:sz w:val="24"/>
          <w:szCs w:val="24"/>
        </w:rPr>
        <w:t xml:space="preserve"> </w:t>
      </w:r>
      <w:r w:rsidR="00AF185B" w:rsidRPr="00B90D01">
        <w:rPr>
          <w:rFonts w:ascii="Times New Roman" w:hAnsi="Times New Roman" w:cs="Times New Roman"/>
          <w:sz w:val="24"/>
          <w:szCs w:val="24"/>
        </w:rPr>
        <w:t>2,20</w:t>
      </w:r>
      <w:r w:rsidRPr="00B90D01">
        <w:rPr>
          <w:rFonts w:ascii="Times New Roman" w:hAnsi="Times New Roman" w:cs="Times New Roman"/>
          <w:sz w:val="24"/>
          <w:szCs w:val="24"/>
        </w:rPr>
        <w:t>%</w:t>
      </w:r>
      <w:r w:rsidR="007B4174" w:rsidRPr="00B90D01">
        <w:rPr>
          <w:rFonts w:ascii="Times New Roman" w:hAnsi="Times New Roman" w:cs="Times New Roman"/>
          <w:sz w:val="24"/>
          <w:szCs w:val="24"/>
        </w:rPr>
        <w:t>)</w:t>
      </w:r>
      <w:r w:rsidRPr="00B90D01">
        <w:rPr>
          <w:rFonts w:ascii="Times New Roman" w:hAnsi="Times New Roman" w:cs="Times New Roman"/>
          <w:sz w:val="24"/>
          <w:szCs w:val="24"/>
        </w:rPr>
        <w:t>.</w:t>
      </w:r>
      <w:r w:rsidR="00A94B42" w:rsidRPr="00B90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424EF24F" w:rsidR="00B51FDB" w:rsidRPr="00B90D01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D01">
        <w:rPr>
          <w:rFonts w:ascii="Times New Roman" w:hAnsi="Times New Roman" w:cs="Times New Roman"/>
          <w:sz w:val="24"/>
          <w:szCs w:val="24"/>
        </w:rPr>
        <w:t>З</w:t>
      </w:r>
      <w:r w:rsidR="000563A8" w:rsidRPr="00B90D01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B90D01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481D13" w:rsidRPr="00B90D01">
        <w:rPr>
          <w:rFonts w:ascii="Times New Roman" w:hAnsi="Times New Roman" w:cs="Times New Roman"/>
          <w:sz w:val="24"/>
          <w:szCs w:val="24"/>
        </w:rPr>
        <w:t>ноября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 </w:t>
      </w:r>
      <w:r w:rsidR="00B607BE" w:rsidRPr="00B90D01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481D13" w:rsidRPr="00B90D01">
        <w:rPr>
          <w:rFonts w:ascii="Times New Roman" w:hAnsi="Times New Roman" w:cs="Times New Roman"/>
          <w:sz w:val="24"/>
          <w:szCs w:val="24"/>
        </w:rPr>
        <w:t>ноябрь</w:t>
      </w:r>
      <w:r w:rsidR="009656A2" w:rsidRPr="00B90D01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B90D01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B90D01">
        <w:rPr>
          <w:rFonts w:ascii="Times New Roman" w:hAnsi="Times New Roman" w:cs="Times New Roman"/>
          <w:sz w:val="24"/>
          <w:szCs w:val="24"/>
        </w:rPr>
        <w:t>сниже</w:t>
      </w:r>
      <w:r w:rsidR="00D362FE" w:rsidRPr="00B90D01">
        <w:rPr>
          <w:rFonts w:ascii="Times New Roman" w:hAnsi="Times New Roman" w:cs="Times New Roman"/>
          <w:sz w:val="24"/>
          <w:szCs w:val="24"/>
        </w:rPr>
        <w:t>ние</w:t>
      </w:r>
      <w:r w:rsidR="00B03B49" w:rsidRPr="00B90D01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B90D01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7B4174" w:rsidRPr="00B90D01">
        <w:rPr>
          <w:rFonts w:ascii="Times New Roman" w:hAnsi="Times New Roman" w:cs="Times New Roman"/>
          <w:sz w:val="24"/>
          <w:szCs w:val="24"/>
        </w:rPr>
        <w:t>1</w:t>
      </w:r>
      <w:r w:rsidR="00B90D01" w:rsidRPr="00B90D01">
        <w:rPr>
          <w:rFonts w:ascii="Times New Roman" w:hAnsi="Times New Roman" w:cs="Times New Roman"/>
          <w:sz w:val="24"/>
          <w:szCs w:val="24"/>
        </w:rPr>
        <w:t>6</w:t>
      </w:r>
      <w:r w:rsidR="00D362FE" w:rsidRPr="00B90D0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90D01">
        <w:rPr>
          <w:rFonts w:ascii="Times New Roman" w:hAnsi="Times New Roman" w:cs="Times New Roman"/>
          <w:sz w:val="24"/>
          <w:szCs w:val="24"/>
        </w:rPr>
        <w:t>(</w:t>
      </w:r>
      <w:r w:rsidR="00D362FE" w:rsidRPr="00B90D01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на </w:t>
      </w:r>
      <w:r w:rsidR="00B90D01" w:rsidRPr="00B90D01">
        <w:rPr>
          <w:rFonts w:ascii="Times New Roman" w:hAnsi="Times New Roman" w:cs="Times New Roman"/>
          <w:sz w:val="24"/>
          <w:szCs w:val="24"/>
        </w:rPr>
        <w:t>8,84</w:t>
      </w:r>
      <w:r w:rsidR="00D362FE" w:rsidRPr="00B90D01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B90D01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B90D01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B90D01">
        <w:rPr>
          <w:rFonts w:ascii="Times New Roman" w:hAnsi="Times New Roman" w:cs="Times New Roman"/>
          <w:sz w:val="24"/>
          <w:szCs w:val="24"/>
        </w:rPr>
        <w:t xml:space="preserve">на </w:t>
      </w:r>
      <w:r w:rsidR="00D97609" w:rsidRPr="00B90D01">
        <w:rPr>
          <w:rFonts w:ascii="Times New Roman" w:hAnsi="Times New Roman" w:cs="Times New Roman"/>
          <w:sz w:val="24"/>
          <w:szCs w:val="24"/>
        </w:rPr>
        <w:t>1</w:t>
      </w:r>
      <w:r w:rsidR="00B90D01" w:rsidRPr="00B90D01">
        <w:rPr>
          <w:rFonts w:ascii="Times New Roman" w:hAnsi="Times New Roman" w:cs="Times New Roman"/>
          <w:sz w:val="24"/>
          <w:szCs w:val="24"/>
        </w:rPr>
        <w:t>6</w:t>
      </w:r>
      <w:r w:rsidR="00A94B42" w:rsidRPr="00B90D0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90D01">
        <w:rPr>
          <w:rFonts w:ascii="Times New Roman" w:hAnsi="Times New Roman" w:cs="Times New Roman"/>
          <w:sz w:val="24"/>
          <w:szCs w:val="24"/>
        </w:rPr>
        <w:t>(</w:t>
      </w:r>
      <w:r w:rsidR="00A94B42" w:rsidRPr="00B90D01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B90D01">
        <w:rPr>
          <w:rFonts w:ascii="Times New Roman" w:hAnsi="Times New Roman" w:cs="Times New Roman"/>
          <w:sz w:val="24"/>
          <w:szCs w:val="24"/>
        </w:rPr>
        <w:t xml:space="preserve">на </w:t>
      </w:r>
      <w:r w:rsidR="00B90D01" w:rsidRPr="00B90D01">
        <w:rPr>
          <w:rFonts w:ascii="Times New Roman" w:hAnsi="Times New Roman" w:cs="Times New Roman"/>
          <w:sz w:val="24"/>
          <w:szCs w:val="24"/>
        </w:rPr>
        <w:t>3,48</w:t>
      </w:r>
      <w:r w:rsidR="007B4174" w:rsidRPr="00B90D01">
        <w:rPr>
          <w:rFonts w:ascii="Times New Roman" w:hAnsi="Times New Roman" w:cs="Times New Roman"/>
          <w:sz w:val="24"/>
          <w:szCs w:val="24"/>
        </w:rPr>
        <w:t>%)</w:t>
      </w:r>
      <w:r w:rsidR="00A94B42" w:rsidRPr="00B90D01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7D6926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7D6926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607EE1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E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607EE1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44DE8E33" w:rsidR="002640A6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EE1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607EE1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607EE1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2640A6" w:rsidRPr="00607E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1B86" w:rsidRPr="00607E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7EE1" w:rsidRPr="00607E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0A6" w:rsidRPr="00607EE1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1327B0" w:rsidRPr="00607EE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607E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1B86" w:rsidRPr="00607E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7EE1" w:rsidRPr="00607E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0A6" w:rsidRPr="00607EE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607EE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BAB699" w14:textId="4F221076" w:rsidR="00A017C0" w:rsidRDefault="00126465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C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8DE4B84" wp14:editId="33040030">
            <wp:extent cx="8770288" cy="3760967"/>
            <wp:effectExtent l="0" t="0" r="1206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FBE4FA" w14:textId="77777777" w:rsidR="00A017C0" w:rsidRDefault="00A017C0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7CE27" w14:textId="409E660F" w:rsidR="002C257D" w:rsidRPr="007203FE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A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203FE">
        <w:rPr>
          <w:rFonts w:ascii="Times New Roman" w:hAnsi="Times New Roman" w:cs="Times New Roman"/>
          <w:sz w:val="24"/>
          <w:szCs w:val="24"/>
        </w:rPr>
        <w:t xml:space="preserve">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0668AF" w:rsidRPr="007203FE">
        <w:rPr>
          <w:rFonts w:ascii="Times New Roman" w:hAnsi="Times New Roman" w:cs="Times New Roman"/>
          <w:sz w:val="24"/>
          <w:szCs w:val="24"/>
        </w:rPr>
        <w:t>ноября</w:t>
      </w:r>
      <w:r w:rsidRPr="007203F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0668AF" w:rsidRPr="007203FE">
        <w:rPr>
          <w:rFonts w:ascii="Times New Roman" w:hAnsi="Times New Roman" w:cs="Times New Roman"/>
          <w:sz w:val="24"/>
          <w:szCs w:val="24"/>
        </w:rPr>
        <w:t>ноябрь</w:t>
      </w:r>
      <w:r w:rsidRPr="007203FE">
        <w:rPr>
          <w:rFonts w:ascii="Times New Roman" w:hAnsi="Times New Roman" w:cs="Times New Roman"/>
          <w:sz w:val="24"/>
          <w:szCs w:val="24"/>
        </w:rPr>
        <w:t xml:space="preserve"> 2023 г.) была положительной </w:t>
      </w:r>
      <w:r w:rsidR="00601403" w:rsidRPr="007203FE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7203FE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7203FE">
        <w:rPr>
          <w:rFonts w:ascii="Times New Roman" w:hAnsi="Times New Roman" w:cs="Times New Roman"/>
          <w:sz w:val="24"/>
          <w:szCs w:val="24"/>
        </w:rPr>
        <w:t>с февраля по июнь</w:t>
      </w:r>
      <w:r w:rsidRPr="007203FE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7203FE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7203FE" w:rsidRPr="007203FE">
        <w:rPr>
          <w:rFonts w:ascii="Times New Roman" w:hAnsi="Times New Roman" w:cs="Times New Roman"/>
          <w:sz w:val="24"/>
          <w:szCs w:val="24"/>
        </w:rPr>
        <w:t>ноябрь</w:t>
      </w:r>
      <w:r w:rsidR="00601403" w:rsidRPr="007203FE">
        <w:rPr>
          <w:rFonts w:ascii="Times New Roman" w:hAnsi="Times New Roman" w:cs="Times New Roman"/>
          <w:sz w:val="24"/>
          <w:szCs w:val="24"/>
        </w:rPr>
        <w:t xml:space="preserve"> 2023 года. За период с ноября</w:t>
      </w:r>
      <w:r w:rsidR="007203FE" w:rsidRPr="007203FE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2C257D" w:rsidRPr="007203FE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7203FE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7203FE">
        <w:rPr>
          <w:rFonts w:ascii="Times New Roman" w:hAnsi="Times New Roman" w:cs="Times New Roman"/>
          <w:sz w:val="24"/>
          <w:szCs w:val="24"/>
        </w:rPr>
        <w:t xml:space="preserve">февраль 2023 года отмечено </w:t>
      </w:r>
      <w:r w:rsidR="005111D8" w:rsidRPr="007203FE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7203FE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7203FE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7203FE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7203FE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3FE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7203FE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7203FE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7203FE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7203FE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2CEC71A3" w:rsidR="00771878" w:rsidRPr="007203FE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FE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7203FE">
        <w:rPr>
          <w:rFonts w:ascii="Times New Roman" w:hAnsi="Times New Roman" w:cs="Times New Roman"/>
          <w:sz w:val="24"/>
          <w:szCs w:val="24"/>
        </w:rPr>
        <w:t xml:space="preserve">периода с </w:t>
      </w:r>
      <w:r w:rsidR="007203FE" w:rsidRPr="007203FE">
        <w:rPr>
          <w:rFonts w:ascii="Times New Roman" w:hAnsi="Times New Roman" w:cs="Times New Roman"/>
          <w:sz w:val="24"/>
          <w:szCs w:val="24"/>
        </w:rPr>
        <w:t>ноября</w:t>
      </w:r>
      <w:r w:rsidR="002C257D" w:rsidRPr="007203FE">
        <w:rPr>
          <w:rFonts w:ascii="Times New Roman" w:hAnsi="Times New Roman" w:cs="Times New Roman"/>
          <w:sz w:val="24"/>
          <w:szCs w:val="24"/>
        </w:rPr>
        <w:t xml:space="preserve"> 2022 года по июнь 2023 года была положительной. В июле 2023 года, в силу специфики работы Единого реестра МСП, отмечено значительное снижение количества ЮЛ. </w:t>
      </w:r>
    </w:p>
    <w:p w14:paraId="72BF7E84" w14:textId="77777777" w:rsidR="00771878" w:rsidRPr="007D6926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7D6926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7D6926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012112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211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012112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012112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27C1BD4" w14:textId="3E78CBE6" w:rsidR="003B2598" w:rsidRPr="007D6926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7D6926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1C43CD79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7B2470D8" w:rsidR="003639BD" w:rsidRPr="00AF2CE0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E0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AF2CE0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AF2CE0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AF2CE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4F1677" w:rsidRPr="00AF2C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2CE0" w:rsidRPr="00AF2C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46F0" w:rsidRPr="00AF2CE0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4603F" w:rsidRPr="00AF2CE0">
        <w:rPr>
          <w:rFonts w:ascii="Times New Roman" w:hAnsi="Times New Roman" w:cs="Times New Roman"/>
          <w:b/>
          <w:bCs/>
          <w:sz w:val="24"/>
          <w:szCs w:val="24"/>
        </w:rPr>
        <w:t xml:space="preserve"> по 1</w:t>
      </w:r>
      <w:r w:rsidR="00AF2CE0" w:rsidRPr="00AF2C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603F" w:rsidRPr="00AF2C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1677" w:rsidRPr="00AF2CE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4603F" w:rsidRPr="00AF2CE0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032A9B" w:rsidRPr="00AF2CE0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AF2CE0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7D6926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6C864" w14:textId="4FADAF88" w:rsidR="00052701" w:rsidRPr="00B7283B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7283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B7283B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7283B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B7283B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B7283B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7283B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D142E3" w:rsidRPr="00D142E3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D142E3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D142E3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6806D58A" w:rsidR="00F4603F" w:rsidRPr="00D142E3" w:rsidRDefault="00F4603F" w:rsidP="0062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D142E3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D142E3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D142E3" w:rsidRPr="00D142E3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D142E3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D142E3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142E3" w:rsidRPr="00D142E3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029550E6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1626EF1D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70D72959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31A2F799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54017382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-8,33%</w:t>
            </w:r>
          </w:p>
        </w:tc>
      </w:tr>
      <w:tr w:rsidR="00D142E3" w:rsidRPr="00D142E3" w14:paraId="04CFBEA4" w14:textId="77777777" w:rsidTr="00D142E3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6F966B4D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EEBF95" w14:textId="0C9EB6DF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095A2AAE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56B934A4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1A255F6E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D142E3" w:rsidRPr="00D142E3" w14:paraId="25BC7EFD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14EC2809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A73B47" w14:textId="33070C7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632405B0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26CACF5C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4D81D270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-6,35%</w:t>
            </w:r>
          </w:p>
        </w:tc>
      </w:tr>
      <w:tr w:rsidR="00D142E3" w:rsidRPr="00D142E3" w14:paraId="51187D71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22BD438C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2DEEE7" w14:textId="7966C64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77FB1EC7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0873009C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3EEB260E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D142E3" w:rsidRPr="00D142E3" w14:paraId="3EA0F39D" w14:textId="77777777" w:rsidTr="00D142E3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7457449E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911AE3" w14:textId="05D45F1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77D8C36F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5E1FC89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045E4895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D142E3" w:rsidRPr="00D142E3" w14:paraId="419D99AC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6A5EA861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29AB84" w14:textId="36F073B5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51CE5F00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301330CE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6B441CE9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-3,51%</w:t>
            </w:r>
          </w:p>
        </w:tc>
      </w:tr>
      <w:tr w:rsidR="00D142E3" w:rsidRPr="00D142E3" w14:paraId="5F1BACC4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48361494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6AF21B" w14:textId="3AB9F88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751F6F9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213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2F15FAD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794444F2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-2,29%</w:t>
            </w:r>
          </w:p>
        </w:tc>
      </w:tr>
      <w:tr w:rsidR="00D142E3" w:rsidRPr="00D142E3" w14:paraId="782AEDA7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4CC010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254260" w14:textId="201F876E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52081572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4B15DF04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211973E6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-8,40%</w:t>
            </w:r>
          </w:p>
        </w:tc>
      </w:tr>
      <w:tr w:rsidR="00D142E3" w:rsidRPr="00D142E3" w14:paraId="6F4C0AC0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6129BC93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0D75C3" w14:textId="03182C4B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1B2B955A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687FF10E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0F4F904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-6,67%</w:t>
            </w:r>
          </w:p>
        </w:tc>
      </w:tr>
      <w:tr w:rsidR="00D142E3" w:rsidRPr="00D142E3" w14:paraId="6C71BA02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05252DC1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6EB1A3" w14:textId="4B89D6D0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720D567D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7A5E1C9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077B2320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6,67%</w:t>
            </w:r>
          </w:p>
        </w:tc>
      </w:tr>
      <w:tr w:rsidR="00D142E3" w:rsidRPr="00D142E3" w14:paraId="182FF3CC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37901BA8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3C4535" w14:textId="16DE42E8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04BBED7A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19FF2F82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6DCE607F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-100,00%</w:t>
            </w:r>
          </w:p>
        </w:tc>
      </w:tr>
      <w:tr w:rsidR="00D142E3" w:rsidRPr="00D142E3" w14:paraId="3F2CC251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3DFF5BD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77F725" w14:textId="1CF8638D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389222BC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2158D2E9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67A00856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-14,29%</w:t>
            </w:r>
          </w:p>
        </w:tc>
      </w:tr>
      <w:tr w:rsidR="00D142E3" w:rsidRPr="00D142E3" w14:paraId="6B38B95E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03275B3F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4BCBB3" w14:textId="1A21ACD0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594B4FBA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016CC754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45278D3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8,70%</w:t>
            </w:r>
          </w:p>
        </w:tc>
      </w:tr>
      <w:tr w:rsidR="00D142E3" w:rsidRPr="00D142E3" w14:paraId="42C2EA1B" w14:textId="77777777" w:rsidTr="00D142E3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26E432DB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6E3970" w14:textId="2595F64F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393E6CB6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1960B366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2DCF1524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8,33%</w:t>
            </w:r>
          </w:p>
        </w:tc>
      </w:tr>
      <w:tr w:rsidR="00D142E3" w:rsidRPr="00D142E3" w14:paraId="036F8A95" w14:textId="77777777" w:rsidTr="00D142E3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03FA9CB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1329A6" w14:textId="7A74837B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2ADD494D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7C6ACBAF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2814EEF6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D142E3" w:rsidRPr="00D142E3" w14:paraId="221FB84D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3ABDFD7F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4FC84E" w14:textId="4BCE6DC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0651D7E2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46202CE8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5B679C7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-14,29%</w:t>
            </w:r>
          </w:p>
        </w:tc>
      </w:tr>
      <w:tr w:rsidR="00D142E3" w:rsidRPr="00D142E3" w14:paraId="6F1D0E50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58E21651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8C80B3" w14:textId="6B9CFC0B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0CD3A277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30E984ED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099D44D4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-25,00%</w:t>
            </w:r>
          </w:p>
        </w:tc>
      </w:tr>
      <w:tr w:rsidR="00D142E3" w:rsidRPr="00D142E3" w14:paraId="2D3E9E76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47CD621D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9030EE" w14:textId="778BF19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2E0C6CE6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71662C7D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77C5AF7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25,00%</w:t>
            </w:r>
          </w:p>
        </w:tc>
      </w:tr>
      <w:tr w:rsidR="00D142E3" w:rsidRPr="00D142E3" w14:paraId="0467A727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F2E3BDB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0F8889" w14:textId="7B4B85D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2DBA79D7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75E881F3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73CE49E0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-10,34%</w:t>
            </w:r>
          </w:p>
        </w:tc>
      </w:tr>
      <w:tr w:rsidR="00D142E3" w:rsidRPr="00D142E3" w14:paraId="3A577AB7" w14:textId="77777777" w:rsidTr="00D142E3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62CB59EA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175CAD" w14:textId="27024B09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65E0EF1E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4BF5074B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122597E6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D142E3" w:rsidRPr="00D142E3" w14:paraId="3B82BD6C" w14:textId="77777777" w:rsidTr="00D142E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371E7AE9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A5E146" w14:textId="0B018479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01422CB7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47410941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250CCD05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D142E3" w:rsidRPr="00D142E3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D142E3" w:rsidRPr="00D142E3" w:rsidRDefault="00D142E3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0120B91B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3D07B589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609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6BCC247B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-29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11A0691D" w:rsidR="00D142E3" w:rsidRPr="00D142E3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2E3">
              <w:rPr>
                <w:rFonts w:ascii="Times New Roman" w:hAnsi="Times New Roman" w:cs="Times New Roman"/>
                <w:b/>
                <w:bCs/>
              </w:rPr>
              <w:t>-4,55%</w:t>
            </w:r>
          </w:p>
        </w:tc>
      </w:tr>
    </w:tbl>
    <w:p w14:paraId="3F332746" w14:textId="77777777" w:rsidR="00F4603F" w:rsidRPr="007D6926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383E27BB" w:rsidR="001F3DC9" w:rsidRPr="0051046C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6C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51046C">
        <w:rPr>
          <w:rFonts w:ascii="Times New Roman" w:hAnsi="Times New Roman" w:cs="Times New Roman"/>
          <w:sz w:val="24"/>
          <w:szCs w:val="24"/>
        </w:rPr>
        <w:t xml:space="preserve"> </w:t>
      </w:r>
      <w:r w:rsidR="0089611D" w:rsidRPr="0051046C">
        <w:rPr>
          <w:rFonts w:ascii="Times New Roman" w:hAnsi="Times New Roman" w:cs="Times New Roman"/>
          <w:sz w:val="24"/>
          <w:szCs w:val="24"/>
        </w:rPr>
        <w:t>четырьмя</w:t>
      </w:r>
      <w:r w:rsidR="00686D4C" w:rsidRPr="0051046C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89611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информации и связи 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89611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89611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6,67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89611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профессиональная, научная и техническая 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(+ 2 ед. или </w:t>
      </w:r>
      <w:r w:rsidR="0089611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8,70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89611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административная и сопутствующие дополнительные услуги 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0668AF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0668AF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8,33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  <w:r w:rsidR="0089611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деятельность в области культуры, спорта, организации досуга и развлечений (+</w:t>
      </w:r>
      <w:r w:rsidR="00213C2A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1 ед. или 25,00 %)</w:t>
      </w:r>
      <w:r w:rsidR="003639BD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D4C" w:rsidRPr="0051046C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471186" w:rsidRPr="0051046C">
        <w:rPr>
          <w:rFonts w:ascii="Times New Roman" w:hAnsi="Times New Roman" w:cs="Times New Roman"/>
          <w:sz w:val="24"/>
          <w:szCs w:val="24"/>
        </w:rPr>
        <w:t>6</w:t>
      </w:r>
      <w:r w:rsidR="00686D4C" w:rsidRPr="0051046C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3639BD" w:rsidRPr="0051046C">
        <w:rPr>
          <w:rFonts w:ascii="Times New Roman" w:hAnsi="Times New Roman" w:cs="Times New Roman"/>
          <w:sz w:val="24"/>
          <w:szCs w:val="24"/>
        </w:rPr>
        <w:t>11</w:t>
      </w:r>
      <w:r w:rsidR="00686D4C" w:rsidRPr="0051046C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5104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726723" w14:textId="77777777" w:rsidR="00F4603F" w:rsidRPr="0051046C" w:rsidRDefault="00F4603F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D65A" w14:textId="11E03B64" w:rsidR="00DC5E4A" w:rsidRPr="0051046C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46C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510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51046C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B4C82" w14:textId="109CA397" w:rsidR="007A51AA" w:rsidRPr="0051046C" w:rsidRDefault="00177ADF" w:rsidP="007A5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6C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012112" w:rsidRPr="0051046C">
        <w:rPr>
          <w:rFonts w:ascii="Times New Roman" w:hAnsi="Times New Roman" w:cs="Times New Roman"/>
          <w:sz w:val="24"/>
          <w:szCs w:val="24"/>
        </w:rPr>
        <w:t>ноября</w:t>
      </w:r>
      <w:r w:rsidRPr="0051046C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012112" w:rsidRPr="0051046C">
        <w:rPr>
          <w:rFonts w:ascii="Times New Roman" w:hAnsi="Times New Roman" w:cs="Times New Roman"/>
          <w:sz w:val="24"/>
          <w:szCs w:val="24"/>
        </w:rPr>
        <w:t>ноябрь</w:t>
      </w:r>
      <w:r w:rsidRPr="0051046C">
        <w:rPr>
          <w:rFonts w:ascii="Times New Roman" w:hAnsi="Times New Roman" w:cs="Times New Roman"/>
          <w:sz w:val="24"/>
          <w:szCs w:val="24"/>
        </w:rPr>
        <w:t xml:space="preserve"> 2023 года динамика количества субъектов МСП, осуществляющих деятельность на территории муниципального образования «Дорогобужский район» Смоленской области, соответствовала</w:t>
      </w:r>
      <w:r w:rsidR="007A51AA" w:rsidRPr="0051046C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51046C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 </w:t>
      </w:r>
      <w:r w:rsidR="007A51AA" w:rsidRPr="0051046C">
        <w:rPr>
          <w:rFonts w:ascii="Times New Roman" w:hAnsi="Times New Roman" w:cs="Times New Roman"/>
          <w:sz w:val="24"/>
          <w:szCs w:val="24"/>
        </w:rPr>
        <w:t>Из 27 муниципальных образований региона в 1</w:t>
      </w:r>
      <w:r w:rsidR="0051046C" w:rsidRPr="0051046C">
        <w:rPr>
          <w:rFonts w:ascii="Times New Roman" w:hAnsi="Times New Roman" w:cs="Times New Roman"/>
          <w:sz w:val="24"/>
          <w:szCs w:val="24"/>
        </w:rPr>
        <w:t>5</w:t>
      </w:r>
      <w:r w:rsidR="007A51AA" w:rsidRPr="0051046C">
        <w:rPr>
          <w:rFonts w:ascii="Times New Roman" w:hAnsi="Times New Roman" w:cs="Times New Roman"/>
          <w:sz w:val="24"/>
          <w:szCs w:val="24"/>
        </w:rPr>
        <w:t xml:space="preserve"> отмечено снижение количества субъектов МСП за д</w:t>
      </w:r>
      <w:r w:rsidR="00A35FD1" w:rsidRPr="0051046C">
        <w:rPr>
          <w:rFonts w:ascii="Times New Roman" w:hAnsi="Times New Roman" w:cs="Times New Roman"/>
          <w:sz w:val="24"/>
          <w:szCs w:val="24"/>
        </w:rPr>
        <w:t>есять</w:t>
      </w:r>
      <w:r w:rsidR="007A51AA" w:rsidRPr="0051046C">
        <w:rPr>
          <w:rFonts w:ascii="Times New Roman" w:hAnsi="Times New Roman" w:cs="Times New Roman"/>
          <w:sz w:val="24"/>
          <w:szCs w:val="24"/>
        </w:rPr>
        <w:t xml:space="preserve"> месяцев 2023 года; положительная динамика отмечена в </w:t>
      </w:r>
      <w:r w:rsidR="0051046C" w:rsidRPr="0051046C">
        <w:rPr>
          <w:rFonts w:ascii="Times New Roman" w:hAnsi="Times New Roman" w:cs="Times New Roman"/>
          <w:sz w:val="24"/>
          <w:szCs w:val="24"/>
        </w:rPr>
        <w:t xml:space="preserve">Вяземском, Гагаринском, </w:t>
      </w:r>
      <w:proofErr w:type="spellStart"/>
      <w:r w:rsidR="0051046C" w:rsidRPr="0051046C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51046C" w:rsidRPr="00510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51046C">
        <w:rPr>
          <w:rFonts w:ascii="Times New Roman" w:hAnsi="Times New Roman" w:cs="Times New Roman"/>
          <w:sz w:val="24"/>
          <w:szCs w:val="24"/>
        </w:rPr>
        <w:t>Монастырщинском</w:t>
      </w:r>
      <w:proofErr w:type="spellEnd"/>
      <w:r w:rsidR="0051046C" w:rsidRPr="00510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51046C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51046C" w:rsidRPr="0051046C">
        <w:rPr>
          <w:rFonts w:ascii="Times New Roman" w:hAnsi="Times New Roman" w:cs="Times New Roman"/>
          <w:sz w:val="24"/>
          <w:szCs w:val="24"/>
        </w:rPr>
        <w:t xml:space="preserve">, Смоленском, </w:t>
      </w:r>
      <w:proofErr w:type="spellStart"/>
      <w:r w:rsidR="0051046C" w:rsidRPr="0051046C">
        <w:rPr>
          <w:rFonts w:ascii="Times New Roman" w:hAnsi="Times New Roman" w:cs="Times New Roman"/>
          <w:sz w:val="24"/>
          <w:szCs w:val="24"/>
        </w:rPr>
        <w:t>Сычевском</w:t>
      </w:r>
      <w:proofErr w:type="spellEnd"/>
      <w:r w:rsidR="0051046C" w:rsidRPr="00510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51046C"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 w:rsidR="0051046C" w:rsidRPr="00510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51046C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51046C" w:rsidRPr="0051046C">
        <w:rPr>
          <w:rFonts w:ascii="Times New Roman" w:hAnsi="Times New Roman" w:cs="Times New Roman"/>
          <w:sz w:val="24"/>
          <w:szCs w:val="24"/>
        </w:rPr>
        <w:t xml:space="preserve"> </w:t>
      </w:r>
      <w:r w:rsidR="007A51AA" w:rsidRPr="0051046C">
        <w:rPr>
          <w:rFonts w:ascii="Times New Roman" w:hAnsi="Times New Roman" w:cs="Times New Roman"/>
          <w:sz w:val="24"/>
          <w:szCs w:val="24"/>
        </w:rPr>
        <w:t>районах</w:t>
      </w:r>
      <w:r w:rsidR="0051046C" w:rsidRPr="0051046C">
        <w:rPr>
          <w:rFonts w:ascii="Times New Roman" w:hAnsi="Times New Roman" w:cs="Times New Roman"/>
          <w:sz w:val="24"/>
          <w:szCs w:val="24"/>
        </w:rPr>
        <w:t>, а также в г. Смоленске и</w:t>
      </w:r>
      <w:r w:rsidR="007A51AA" w:rsidRPr="0051046C">
        <w:rPr>
          <w:rFonts w:ascii="Times New Roman" w:hAnsi="Times New Roman" w:cs="Times New Roman"/>
          <w:sz w:val="24"/>
          <w:szCs w:val="24"/>
        </w:rPr>
        <w:t xml:space="preserve"> г. Десногорске.</w:t>
      </w:r>
      <w:r w:rsidR="0051046C" w:rsidRPr="005104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1046C" w:rsidRPr="0051046C">
        <w:rPr>
          <w:rFonts w:ascii="Times New Roman" w:hAnsi="Times New Roman" w:cs="Times New Roman"/>
          <w:sz w:val="24"/>
          <w:szCs w:val="24"/>
        </w:rPr>
        <w:t>Ельнинском</w:t>
      </w:r>
      <w:proofErr w:type="spellEnd"/>
      <w:r w:rsidR="0051046C" w:rsidRPr="0051046C">
        <w:rPr>
          <w:rFonts w:ascii="Times New Roman" w:hAnsi="Times New Roman" w:cs="Times New Roman"/>
          <w:sz w:val="24"/>
          <w:szCs w:val="24"/>
        </w:rPr>
        <w:t xml:space="preserve"> районе динамика отсутствует.</w:t>
      </w:r>
    </w:p>
    <w:p w14:paraId="46E60908" w14:textId="6058C8CB" w:rsidR="00177ADF" w:rsidRPr="0051046C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6C">
        <w:rPr>
          <w:rFonts w:ascii="Times New Roman" w:hAnsi="Times New Roman" w:cs="Times New Roman"/>
          <w:sz w:val="24"/>
          <w:szCs w:val="24"/>
        </w:rPr>
        <w:t>В муниципальном образовании «Дорогобужский район» Смоленской области за рассматриваемый период отмечено снижение количества МСП на</w:t>
      </w:r>
      <w:r w:rsidR="0051046C" w:rsidRPr="0051046C">
        <w:rPr>
          <w:rFonts w:ascii="Times New Roman" w:hAnsi="Times New Roman" w:cs="Times New Roman"/>
          <w:sz w:val="24"/>
          <w:szCs w:val="24"/>
        </w:rPr>
        <w:t xml:space="preserve"> 32</w:t>
      </w:r>
      <w:r w:rsidRPr="0051046C">
        <w:rPr>
          <w:rFonts w:ascii="Times New Roman" w:hAnsi="Times New Roman" w:cs="Times New Roman"/>
          <w:sz w:val="24"/>
          <w:szCs w:val="24"/>
        </w:rPr>
        <w:t xml:space="preserve"> ед. (</w:t>
      </w:r>
      <w:r w:rsidR="0051046C" w:rsidRPr="0051046C">
        <w:rPr>
          <w:rFonts w:ascii="Times New Roman" w:hAnsi="Times New Roman" w:cs="Times New Roman"/>
          <w:sz w:val="24"/>
          <w:szCs w:val="24"/>
        </w:rPr>
        <w:t>4,99</w:t>
      </w:r>
      <w:r w:rsidRPr="0051046C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51046C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46C">
        <w:rPr>
          <w:rFonts w:ascii="Times New Roman" w:hAnsi="Times New Roman" w:cs="Times New Roman"/>
          <w:sz w:val="24"/>
          <w:szCs w:val="24"/>
        </w:rPr>
        <w:t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51046C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51046C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51046C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51046C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6C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51046C">
        <w:rPr>
          <w:rFonts w:ascii="Times New Roman" w:hAnsi="Times New Roman" w:cs="Times New Roman"/>
          <w:sz w:val="24"/>
          <w:szCs w:val="24"/>
        </w:rPr>
        <w:t>. П</w:t>
      </w:r>
      <w:r w:rsidRPr="0051046C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51046C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51046C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5104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51046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7374" w14:textId="77777777" w:rsidR="00AC2482" w:rsidRDefault="00AC2482" w:rsidP="00434DB7">
      <w:pPr>
        <w:spacing w:after="0" w:line="240" w:lineRule="auto"/>
      </w:pPr>
      <w:r>
        <w:separator/>
      </w:r>
    </w:p>
  </w:endnote>
  <w:endnote w:type="continuationSeparator" w:id="0">
    <w:p w14:paraId="3A541E66" w14:textId="77777777" w:rsidR="00AC2482" w:rsidRDefault="00AC248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9C78" w14:textId="77777777" w:rsidR="00AC2482" w:rsidRDefault="00AC2482" w:rsidP="00434DB7">
      <w:pPr>
        <w:spacing w:after="0" w:line="240" w:lineRule="auto"/>
      </w:pPr>
      <w:r>
        <w:separator/>
      </w:r>
    </w:p>
  </w:footnote>
  <w:footnote w:type="continuationSeparator" w:id="0">
    <w:p w14:paraId="62B5BFDE" w14:textId="77777777" w:rsidR="00AC2482" w:rsidRDefault="00AC248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CA7"/>
    <w:rsid w:val="00006ED0"/>
    <w:rsid w:val="000101FB"/>
    <w:rsid w:val="00012112"/>
    <w:rsid w:val="00023068"/>
    <w:rsid w:val="00023F9B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E587A"/>
    <w:rsid w:val="000F2CD6"/>
    <w:rsid w:val="000F343C"/>
    <w:rsid w:val="000F5D7B"/>
    <w:rsid w:val="000F7FC7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52FD"/>
    <w:rsid w:val="00161617"/>
    <w:rsid w:val="00166B59"/>
    <w:rsid w:val="00166EB9"/>
    <w:rsid w:val="00170C78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B0C47"/>
    <w:rsid w:val="001B14A3"/>
    <w:rsid w:val="001B1E14"/>
    <w:rsid w:val="001B2D85"/>
    <w:rsid w:val="001B2E6F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3C2A"/>
    <w:rsid w:val="00214048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104D"/>
    <w:rsid w:val="002B09A2"/>
    <w:rsid w:val="002C257D"/>
    <w:rsid w:val="002D3F04"/>
    <w:rsid w:val="002D59ED"/>
    <w:rsid w:val="002D5AA4"/>
    <w:rsid w:val="002E49B0"/>
    <w:rsid w:val="002F3AA3"/>
    <w:rsid w:val="00302B09"/>
    <w:rsid w:val="00306231"/>
    <w:rsid w:val="003113D3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DAA"/>
    <w:rsid w:val="003D4EFD"/>
    <w:rsid w:val="003D51D5"/>
    <w:rsid w:val="003E1337"/>
    <w:rsid w:val="003E36A7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E66"/>
    <w:rsid w:val="004B633A"/>
    <w:rsid w:val="004C4D4E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40A0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75FB"/>
    <w:rsid w:val="005760E6"/>
    <w:rsid w:val="0057613E"/>
    <w:rsid w:val="0058024F"/>
    <w:rsid w:val="00582644"/>
    <w:rsid w:val="0058365B"/>
    <w:rsid w:val="00584E95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601403"/>
    <w:rsid w:val="0060750F"/>
    <w:rsid w:val="00607EE1"/>
    <w:rsid w:val="006275AB"/>
    <w:rsid w:val="00632A52"/>
    <w:rsid w:val="00645D86"/>
    <w:rsid w:val="00647FB6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E2C5D"/>
    <w:rsid w:val="006E6844"/>
    <w:rsid w:val="006E7C95"/>
    <w:rsid w:val="006F1C24"/>
    <w:rsid w:val="006F536B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7D0D"/>
    <w:rsid w:val="00740E49"/>
    <w:rsid w:val="00753584"/>
    <w:rsid w:val="00761439"/>
    <w:rsid w:val="007637C2"/>
    <w:rsid w:val="00767A09"/>
    <w:rsid w:val="00771878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D0C56"/>
    <w:rsid w:val="007D1270"/>
    <w:rsid w:val="007D4D90"/>
    <w:rsid w:val="007D6926"/>
    <w:rsid w:val="007E3050"/>
    <w:rsid w:val="008027E7"/>
    <w:rsid w:val="00803AAD"/>
    <w:rsid w:val="0081507E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D0333"/>
    <w:rsid w:val="008E5B13"/>
    <w:rsid w:val="008F4649"/>
    <w:rsid w:val="009011C1"/>
    <w:rsid w:val="00903C9D"/>
    <w:rsid w:val="009134BF"/>
    <w:rsid w:val="009146F0"/>
    <w:rsid w:val="00916924"/>
    <w:rsid w:val="0092561A"/>
    <w:rsid w:val="00926848"/>
    <w:rsid w:val="00927F1E"/>
    <w:rsid w:val="0093379B"/>
    <w:rsid w:val="0093763A"/>
    <w:rsid w:val="00942321"/>
    <w:rsid w:val="00944B0C"/>
    <w:rsid w:val="009466DD"/>
    <w:rsid w:val="009628C1"/>
    <w:rsid w:val="009656A2"/>
    <w:rsid w:val="00967D01"/>
    <w:rsid w:val="00971B86"/>
    <w:rsid w:val="00974469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3B3F"/>
    <w:rsid w:val="00A06E7E"/>
    <w:rsid w:val="00A10F6A"/>
    <w:rsid w:val="00A2437E"/>
    <w:rsid w:val="00A30C47"/>
    <w:rsid w:val="00A32304"/>
    <w:rsid w:val="00A337E9"/>
    <w:rsid w:val="00A33955"/>
    <w:rsid w:val="00A33A89"/>
    <w:rsid w:val="00A34FE3"/>
    <w:rsid w:val="00A35FD1"/>
    <w:rsid w:val="00A36145"/>
    <w:rsid w:val="00A41C51"/>
    <w:rsid w:val="00A43FCC"/>
    <w:rsid w:val="00A56C52"/>
    <w:rsid w:val="00A610B8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C2482"/>
    <w:rsid w:val="00AD391D"/>
    <w:rsid w:val="00AD69C1"/>
    <w:rsid w:val="00AE14CB"/>
    <w:rsid w:val="00AE211E"/>
    <w:rsid w:val="00AE32B8"/>
    <w:rsid w:val="00AF185B"/>
    <w:rsid w:val="00AF2CE0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7283B"/>
    <w:rsid w:val="00B90D01"/>
    <w:rsid w:val="00BA2D74"/>
    <w:rsid w:val="00BA5B78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D3E"/>
    <w:rsid w:val="00C05FB0"/>
    <w:rsid w:val="00C20371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5C5B"/>
    <w:rsid w:val="00C74F36"/>
    <w:rsid w:val="00C81BEB"/>
    <w:rsid w:val="00C857C4"/>
    <w:rsid w:val="00C93226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F6017"/>
    <w:rsid w:val="00CF6E7A"/>
    <w:rsid w:val="00D01EC9"/>
    <w:rsid w:val="00D03E4A"/>
    <w:rsid w:val="00D05B98"/>
    <w:rsid w:val="00D1199E"/>
    <w:rsid w:val="00D142E3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3BF6"/>
    <w:rsid w:val="00D66A4F"/>
    <w:rsid w:val="00D73192"/>
    <w:rsid w:val="00D80792"/>
    <w:rsid w:val="00D82D4A"/>
    <w:rsid w:val="00D83D7C"/>
    <w:rsid w:val="00D84E2F"/>
    <w:rsid w:val="00D8596C"/>
    <w:rsid w:val="00D97609"/>
    <w:rsid w:val="00DA0308"/>
    <w:rsid w:val="00DC3F2B"/>
    <w:rsid w:val="00DC5E4A"/>
    <w:rsid w:val="00DF026F"/>
    <w:rsid w:val="00DF11FD"/>
    <w:rsid w:val="00DF245C"/>
    <w:rsid w:val="00DF3164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665F5"/>
    <w:rsid w:val="00F73C92"/>
    <w:rsid w:val="00F74DAE"/>
    <w:rsid w:val="00F83CEA"/>
    <w:rsid w:val="00F906B4"/>
    <w:rsid w:val="00F95E4D"/>
    <w:rsid w:val="00F964D0"/>
    <w:rsid w:val="00FA02DD"/>
    <w:rsid w:val="00FA4E65"/>
    <w:rsid w:val="00FC2A39"/>
    <w:rsid w:val="00FD0D32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181</c:v>
                </c:pt>
                <c:pt idx="1">
                  <c:v>181</c:v>
                </c:pt>
                <c:pt idx="2">
                  <c:v>184</c:v>
                </c:pt>
                <c:pt idx="3">
                  <c:v>185</c:v>
                </c:pt>
                <c:pt idx="4">
                  <c:v>187</c:v>
                </c:pt>
                <c:pt idx="5">
                  <c:v>187</c:v>
                </c:pt>
                <c:pt idx="6">
                  <c:v>188</c:v>
                </c:pt>
                <c:pt idx="7">
                  <c:v>188</c:v>
                </c:pt>
                <c:pt idx="8">
                  <c:v>162</c:v>
                </c:pt>
                <c:pt idx="9">
                  <c:v>163</c:v>
                </c:pt>
                <c:pt idx="10">
                  <c:v>162</c:v>
                </c:pt>
                <c:pt idx="11" formatCode="#,##0">
                  <c:v>166</c:v>
                </c:pt>
                <c:pt idx="12">
                  <c:v>165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460</c:v>
                </c:pt>
                <c:pt idx="1">
                  <c:v>459</c:v>
                </c:pt>
                <c:pt idx="2">
                  <c:v>454</c:v>
                </c:pt>
                <c:pt idx="3">
                  <c:v>448</c:v>
                </c:pt>
                <c:pt idx="4">
                  <c:v>455</c:v>
                </c:pt>
                <c:pt idx="5">
                  <c:v>457</c:v>
                </c:pt>
                <c:pt idx="6">
                  <c:v>455</c:v>
                </c:pt>
                <c:pt idx="7">
                  <c:v>460</c:v>
                </c:pt>
                <c:pt idx="8">
                  <c:v>429</c:v>
                </c:pt>
                <c:pt idx="9">
                  <c:v>432</c:v>
                </c:pt>
                <c:pt idx="10">
                  <c:v>437</c:v>
                </c:pt>
                <c:pt idx="11" formatCode="#,##0">
                  <c:v>444</c:v>
                </c:pt>
                <c:pt idx="12">
                  <c:v>444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315328"/>
        <c:axId val="191848448"/>
      </c:lineChart>
      <c:dateAx>
        <c:axId val="97315328"/>
        <c:scaling>
          <c:orientation val="minMax"/>
          <c:max val="45240"/>
          <c:min val="4487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848448"/>
        <c:crosses val="autoZero"/>
        <c:auto val="1"/>
        <c:lblOffset val="100"/>
        <c:baseTimeUnit val="months"/>
      </c:dateAx>
      <c:valAx>
        <c:axId val="191848448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1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213</c:v>
                </c:pt>
                <c:pt idx="1">
                  <c:v>109</c:v>
                </c:pt>
                <c:pt idx="2">
                  <c:v>59</c:v>
                </c:pt>
                <c:pt idx="3">
                  <c:v>55</c:v>
                </c:pt>
                <c:pt idx="4">
                  <c:v>33</c:v>
                </c:pt>
                <c:pt idx="5">
                  <c:v>26</c:v>
                </c:pt>
                <c:pt idx="6">
                  <c:v>25</c:v>
                </c:pt>
                <c:pt idx="7">
                  <c:v>18</c:v>
                </c:pt>
                <c:pt idx="8">
                  <c:v>16</c:v>
                </c:pt>
                <c:pt idx="9">
                  <c:v>14</c:v>
                </c:pt>
                <c:pt idx="1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700B-3304-42A0-862F-2170839C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77</cp:revision>
  <cp:lastPrinted>2023-11-21T08:07:00Z</cp:lastPrinted>
  <dcterms:created xsi:type="dcterms:W3CDTF">2023-08-22T11:45:00Z</dcterms:created>
  <dcterms:modified xsi:type="dcterms:W3CDTF">2023-11-21T08:32:00Z</dcterms:modified>
</cp:coreProperties>
</file>