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F91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ИНФОРМАЦИОННО-АНАЛИТИЧЕСКИЙ ОТЧЕТ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Администрации муниципального образования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«Дорогобужский район» Смоленской области </w:t>
      </w:r>
    </w:p>
    <w:p w:rsidR="00A6648D" w:rsidRDefault="00841BAA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обращениями граждан за 2025</w:t>
      </w:r>
      <w:r w:rsidR="00A664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48D" w:rsidRDefault="00A6648D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Администрацией муниципального образования «Дорогобужский район» Смоленской области проанализирована работа с обращениями граждан, поступившими на имя Главы муниципального образования «Дорогобужский район» Смоленской области, заместителей Главы муниципального образования «Дорогобужский район» Смоленской области и в адрес Администрации муниципального образования «Дорогобужский р</w:t>
      </w:r>
      <w:r w:rsidR="00841BAA">
        <w:rPr>
          <w:rFonts w:ascii="Times New Roman" w:hAnsi="Times New Roman" w:cs="Times New Roman"/>
          <w:sz w:val="28"/>
          <w:szCs w:val="28"/>
        </w:rPr>
        <w:t>айон» Смоленской</w:t>
      </w:r>
      <w:proofErr w:type="gramEnd"/>
      <w:r w:rsidR="00841BAA">
        <w:rPr>
          <w:rFonts w:ascii="Times New Roman" w:hAnsi="Times New Roman" w:cs="Times New Roman"/>
          <w:sz w:val="28"/>
          <w:szCs w:val="28"/>
        </w:rPr>
        <w:t xml:space="preserve"> области за 2025</w:t>
      </w:r>
      <w:r>
        <w:rPr>
          <w:rFonts w:ascii="Times New Roman" w:hAnsi="Times New Roman" w:cs="Times New Roman"/>
          <w:sz w:val="28"/>
          <w:szCs w:val="28"/>
        </w:rPr>
        <w:t xml:space="preserve"> год (далее – отчетный период).</w:t>
      </w:r>
    </w:p>
    <w:p w:rsidR="00A6648D" w:rsidRDefault="00A6648D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показал проведенный анализ, в отчетном периоде на рассмотрение в Администрацию муниципального образования «Дорогобужский район» Смоленской области посту</w:t>
      </w:r>
      <w:r w:rsidR="00841BAA">
        <w:rPr>
          <w:rFonts w:ascii="Times New Roman" w:hAnsi="Times New Roman" w:cs="Times New Roman"/>
          <w:sz w:val="28"/>
          <w:szCs w:val="28"/>
        </w:rPr>
        <w:t>пило 348</w:t>
      </w:r>
      <w:r>
        <w:rPr>
          <w:rFonts w:ascii="Times New Roman" w:hAnsi="Times New Roman" w:cs="Times New Roman"/>
          <w:sz w:val="28"/>
          <w:szCs w:val="28"/>
        </w:rPr>
        <w:t xml:space="preserve"> обр</w:t>
      </w:r>
      <w:r w:rsidR="00841BAA">
        <w:rPr>
          <w:rFonts w:ascii="Times New Roman" w:hAnsi="Times New Roman" w:cs="Times New Roman"/>
          <w:sz w:val="28"/>
          <w:szCs w:val="28"/>
        </w:rPr>
        <w:t>ащение граждан (письменных – 240</w:t>
      </w:r>
      <w:r>
        <w:rPr>
          <w:rFonts w:ascii="Times New Roman" w:hAnsi="Times New Roman" w:cs="Times New Roman"/>
          <w:sz w:val="28"/>
          <w:szCs w:val="28"/>
        </w:rPr>
        <w:t xml:space="preserve"> и устных 108), что на</w:t>
      </w:r>
      <w:r w:rsidR="00841BAA">
        <w:rPr>
          <w:rFonts w:ascii="Times New Roman" w:hAnsi="Times New Roman" w:cs="Times New Roman"/>
          <w:sz w:val="28"/>
          <w:szCs w:val="28"/>
        </w:rPr>
        <w:t xml:space="preserve"> 7,8</w:t>
      </w:r>
      <w:r w:rsidR="006E5546">
        <w:rPr>
          <w:rFonts w:ascii="Times New Roman" w:hAnsi="Times New Roman" w:cs="Times New Roman"/>
          <w:sz w:val="28"/>
          <w:szCs w:val="28"/>
        </w:rPr>
        <w:t xml:space="preserve"> % </w:t>
      </w:r>
      <w:r w:rsidR="00841BAA">
        <w:rPr>
          <w:rFonts w:ascii="Times New Roman" w:hAnsi="Times New Roman" w:cs="Times New Roman"/>
          <w:sz w:val="28"/>
          <w:szCs w:val="28"/>
        </w:rPr>
        <w:t>больше, чем за аналогичный период 2024</w:t>
      </w:r>
      <w:r w:rsidR="006E5546">
        <w:rPr>
          <w:rFonts w:ascii="Times New Roman" w:hAnsi="Times New Roman" w:cs="Times New Roman"/>
          <w:sz w:val="28"/>
          <w:szCs w:val="28"/>
        </w:rPr>
        <w:t xml:space="preserve"> года (далее - АППГ).</w:t>
      </w:r>
    </w:p>
    <w:p w:rsidR="00E329AB" w:rsidRDefault="00E329AB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70B" w:rsidRDefault="006E5546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EC8851" wp14:editId="2C36530F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B270B" w:rsidRPr="003B270B" w:rsidRDefault="003B270B" w:rsidP="003B270B">
      <w:pPr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3B270B">
      <w:pPr>
        <w:rPr>
          <w:rFonts w:ascii="Times New Roman" w:hAnsi="Times New Roman" w:cs="Times New Roman"/>
          <w:sz w:val="28"/>
          <w:szCs w:val="28"/>
        </w:rPr>
      </w:pPr>
    </w:p>
    <w:p w:rsidR="006E5546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B270B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433C9" w:rsidRDefault="002D7304" w:rsidP="004E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тематики посту</w:t>
      </w:r>
      <w:r w:rsidR="00841BAA">
        <w:rPr>
          <w:rFonts w:ascii="Times New Roman" w:hAnsi="Times New Roman" w:cs="Times New Roman"/>
          <w:sz w:val="28"/>
          <w:szCs w:val="28"/>
        </w:rPr>
        <w:t>пивших обращений показал, что 212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обращений или 62,3% от общего количества поступивших обращений относятся к сфере жилищно-коммунального хозяйства (АППГ – 60,1%).</w:t>
      </w:r>
      <w:r w:rsidR="004E789F">
        <w:rPr>
          <w:rFonts w:ascii="Times New Roman" w:hAnsi="Times New Roman" w:cs="Times New Roman"/>
          <w:sz w:val="28"/>
          <w:szCs w:val="28"/>
        </w:rPr>
        <w:t xml:space="preserve"> Основными причинами многочисленных обращений граждан в сфере жилищно-коммунального хозяйства явились в первую очередь проблемы по содержанию и обеспечению коммунальными услугами жилого фонда, предоставление коммунальных услуг ненадлежащего качества. 44 </w:t>
      </w:r>
      <w:r w:rsidR="00B433C9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4E789F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B433C9">
        <w:rPr>
          <w:rFonts w:ascii="Times New Roman" w:hAnsi="Times New Roman" w:cs="Times New Roman"/>
          <w:sz w:val="28"/>
          <w:szCs w:val="28"/>
        </w:rPr>
        <w:t xml:space="preserve">или 13,7% </w:t>
      </w:r>
      <w:r w:rsidR="004E789F">
        <w:rPr>
          <w:rFonts w:ascii="Times New Roman" w:hAnsi="Times New Roman" w:cs="Times New Roman"/>
          <w:sz w:val="28"/>
          <w:szCs w:val="28"/>
        </w:rPr>
        <w:t xml:space="preserve">в отчетном году </w:t>
      </w:r>
      <w:r w:rsidR="00B433C9">
        <w:rPr>
          <w:rFonts w:ascii="Times New Roman" w:hAnsi="Times New Roman" w:cs="Times New Roman"/>
          <w:sz w:val="28"/>
          <w:szCs w:val="28"/>
        </w:rPr>
        <w:t xml:space="preserve">содержали вопросу благоустройства и </w:t>
      </w:r>
      <w:proofErr w:type="gramStart"/>
      <w:r w:rsidR="00B433C9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="00B433C9">
        <w:rPr>
          <w:rFonts w:ascii="Times New Roman" w:hAnsi="Times New Roman" w:cs="Times New Roman"/>
          <w:sz w:val="28"/>
          <w:szCs w:val="28"/>
        </w:rPr>
        <w:t xml:space="preserve"> подъездных дорог (АППГ – 11,9%), далее стоят вопросы энергетики 25 обращений (7,8 %), остальные обращения граждан содержали вопросы транспортного обеспечения, экономики и социальной сферы. 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 анализ показывает, что в Администрацию обращаются различные категории граждан, независимо от социального положения и уровня жизни. Динамика последних лет отмечает рост числа обращений, поступивших в форме электронного документа, что говорит о постоянно развивающихся системах общего пользования, а также об имеющейся у граждан возможности направить свое обращение путем удаленного пользования в сети Интернет.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работы с обращениями граждан и качество их рассмотрения является одним из важнейших критериев оценки работы органов местного самоуправления и представляет собой одно из важных направлений деятельности администрации муниципального образования «Дорогобужский район» Смоленской области и ее структурных подразделений. 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повышения эффективности работы с обращениями граждан в администрации района регулярно проводится: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поступающих обращений;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осуществляется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требований Федерального закона от 02.05.2006 № 59-ФЗ «О порядке рассмотрения обращений граждан Российской Федерации», решением проблем, обозначенных заявителями в обращениях;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контроля за сроками и качеством рассмотрения обращений.</w:t>
      </w:r>
    </w:p>
    <w:p w:rsidR="003B270B" w:rsidRPr="003B270B" w:rsidRDefault="004E789F" w:rsidP="004E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B270B" w:rsidRPr="003B2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3A"/>
    <w:rsid w:val="002D7304"/>
    <w:rsid w:val="003B270B"/>
    <w:rsid w:val="00442AD4"/>
    <w:rsid w:val="004E0B2D"/>
    <w:rsid w:val="004E789F"/>
    <w:rsid w:val="00642F91"/>
    <w:rsid w:val="006E5546"/>
    <w:rsid w:val="00841BAA"/>
    <w:rsid w:val="008D0B3A"/>
    <w:rsid w:val="00A6648D"/>
    <w:rsid w:val="00B433C9"/>
    <w:rsid w:val="00E3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Динамика поступления обращений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граждан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146325459317586E-3"/>
                  <c:y val="-7.94558960341495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462962962962962E-2"/>
                  <c:y val="3.97279480170748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294473607465733E-3"/>
                  <c:y val="-1.1918384405122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Лист1!$A$2:$A$4</c:f>
              <c:strCache>
                <c:ptCount val="3"/>
                <c:pt idx="0">
                  <c:v>12 месяцев 2023 года</c:v>
                </c:pt>
                <c:pt idx="1">
                  <c:v>12 месяцев 2024 года</c:v>
                </c:pt>
                <c:pt idx="2">
                  <c:v>12 месяцев 2025 года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395</c:v>
                </c:pt>
                <c:pt idx="1">
                  <c:v>321</c:v>
                </c:pt>
                <c:pt idx="2">
                  <c:v>348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3491456"/>
        <c:axId val="151892480"/>
        <c:axId val="0"/>
      </c:bar3DChart>
      <c:catAx>
        <c:axId val="193491456"/>
        <c:scaling>
          <c:orientation val="minMax"/>
        </c:scaling>
        <c:delete val="0"/>
        <c:axPos val="b"/>
        <c:majorTickMark val="out"/>
        <c:minorTickMark val="none"/>
        <c:tickLblPos val="nextTo"/>
        <c:crossAx val="151892480"/>
        <c:crosses val="autoZero"/>
        <c:auto val="1"/>
        <c:lblAlgn val="ctr"/>
        <c:lblOffset val="100"/>
        <c:noMultiLvlLbl val="0"/>
      </c:catAx>
      <c:valAx>
        <c:axId val="1518924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34914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Динамика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поступления обращений граждан по месяцам 2025 года в сравнении с 2024 годом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marker>
            <c:symbol val="none"/>
          </c:marker>
          <c:dLbls>
            <c:dLbl>
              <c:idx val="3"/>
              <c:layout>
                <c:manualLayout>
                  <c:x val="-3.0092592592592636E-2"/>
                  <c:y val="-2.7809563611952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888888888888888E-2"/>
                  <c:y val="-1.5891179206830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36</c:v>
                </c:pt>
                <c:pt idx="1">
                  <c:v>27</c:v>
                </c:pt>
                <c:pt idx="2">
                  <c:v>25</c:v>
                </c:pt>
                <c:pt idx="3">
                  <c:v>22</c:v>
                </c:pt>
                <c:pt idx="4">
                  <c:v>35</c:v>
                </c:pt>
                <c:pt idx="5">
                  <c:v>28</c:v>
                </c:pt>
                <c:pt idx="6">
                  <c:v>16</c:v>
                </c:pt>
                <c:pt idx="7">
                  <c:v>34</c:v>
                </c:pt>
                <c:pt idx="8">
                  <c:v>20</c:v>
                </c:pt>
                <c:pt idx="9">
                  <c:v>21</c:v>
                </c:pt>
                <c:pt idx="10">
                  <c:v>16</c:v>
                </c:pt>
                <c:pt idx="11">
                  <c:v>41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marker>
            <c:symbol val="none"/>
          </c:marker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40</c:v>
                </c:pt>
                <c:pt idx="1">
                  <c:v>28</c:v>
                </c:pt>
                <c:pt idx="2">
                  <c:v>20</c:v>
                </c:pt>
                <c:pt idx="3">
                  <c:v>21</c:v>
                </c:pt>
                <c:pt idx="4">
                  <c:v>48</c:v>
                </c:pt>
                <c:pt idx="5">
                  <c:v>18</c:v>
                </c:pt>
                <c:pt idx="6">
                  <c:v>29</c:v>
                </c:pt>
                <c:pt idx="7">
                  <c:v>37</c:v>
                </c:pt>
                <c:pt idx="8">
                  <c:v>15</c:v>
                </c:pt>
                <c:pt idx="9">
                  <c:v>22</c:v>
                </c:pt>
                <c:pt idx="10">
                  <c:v>20</c:v>
                </c:pt>
                <c:pt idx="11">
                  <c:v>50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3119232"/>
        <c:axId val="151895360"/>
      </c:lineChart>
      <c:catAx>
        <c:axId val="15311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51895360"/>
        <c:crosses val="autoZero"/>
        <c:auto val="1"/>
        <c:lblAlgn val="ctr"/>
        <c:lblOffset val="100"/>
        <c:noMultiLvlLbl val="0"/>
      </c:catAx>
      <c:valAx>
        <c:axId val="1518953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53119232"/>
        <c:crosses val="autoZero"/>
        <c:crossBetween val="between"/>
      </c:valAx>
    </c:plotArea>
    <c:legend>
      <c:legendPos val="t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2025-06-30T06:46:00Z</dcterms:created>
  <dcterms:modified xsi:type="dcterms:W3CDTF">2026-09-28T09:30:00Z</dcterms:modified>
</cp:coreProperties>
</file>