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4E" w:rsidRDefault="0070464E" w:rsidP="00F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FA7363" w:rsidRPr="00FA7363" w:rsidRDefault="00FA7363" w:rsidP="00F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3">
        <w:rPr>
          <w:rFonts w:ascii="Times New Roman" w:hAnsi="Times New Roman" w:cs="Times New Roman"/>
          <w:b/>
          <w:sz w:val="28"/>
          <w:szCs w:val="28"/>
        </w:rPr>
        <w:t xml:space="preserve"> обращений граждан</w:t>
      </w:r>
      <w:r w:rsidR="0070464E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</w:p>
    <w:p w:rsidR="00FA7363" w:rsidRPr="00FA7363" w:rsidRDefault="00FA7363" w:rsidP="00F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3">
        <w:rPr>
          <w:rFonts w:ascii="Times New Roman" w:hAnsi="Times New Roman" w:cs="Times New Roman"/>
          <w:b/>
          <w:sz w:val="28"/>
          <w:szCs w:val="28"/>
        </w:rPr>
        <w:t>в Администраци</w:t>
      </w:r>
      <w:r w:rsidR="0070464E">
        <w:rPr>
          <w:rFonts w:ascii="Times New Roman" w:hAnsi="Times New Roman" w:cs="Times New Roman"/>
          <w:b/>
          <w:sz w:val="28"/>
          <w:szCs w:val="28"/>
        </w:rPr>
        <w:t>ю</w:t>
      </w:r>
      <w:r w:rsidRPr="00FA736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A7363" w:rsidRPr="00FA7363" w:rsidRDefault="00FA7363" w:rsidP="00F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3">
        <w:rPr>
          <w:rFonts w:ascii="Times New Roman" w:hAnsi="Times New Roman" w:cs="Times New Roman"/>
          <w:b/>
          <w:sz w:val="28"/>
          <w:szCs w:val="28"/>
        </w:rPr>
        <w:t xml:space="preserve">«Дорогобужский район» Смоленской области </w:t>
      </w:r>
    </w:p>
    <w:p w:rsidR="00FA7363" w:rsidRDefault="00FA7363" w:rsidP="00F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3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FA7363" w:rsidRDefault="00FA7363" w:rsidP="00FA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3" w:rsidRDefault="00FA7363" w:rsidP="00FA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02" w:rsidRPr="00DE4790" w:rsidRDefault="00B06D02" w:rsidP="00B06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с Конституцией Российской Федерации, 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Уставом муниципального образования «Дорогобужский район» Смоленской области, </w:t>
      </w:r>
      <w:r>
        <w:rPr>
          <w:rFonts w:ascii="Times New Roman" w:hAnsi="Times New Roman" w:cs="Times New Roman"/>
          <w:bCs/>
          <w:sz w:val="28"/>
          <w:szCs w:val="28"/>
        </w:rPr>
        <w:t>Регламентом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Смоленской области от 11.06.2014 №380, а также </w:t>
      </w:r>
      <w:r w:rsidRPr="00DE4790">
        <w:rPr>
          <w:rFonts w:ascii="Times New Roman" w:hAnsi="Times New Roman" w:cs="Times New Roman"/>
          <w:bCs/>
          <w:sz w:val="28"/>
          <w:szCs w:val="28"/>
        </w:rPr>
        <w:t>Инструкци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о порядке рассмотрения обращений граждан в Администрации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«Дорогобужский район» Смоленской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04 декабря 2014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685</w:t>
      </w:r>
      <w:r w:rsidRPr="00DE4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D02" w:rsidRDefault="00B06D02" w:rsidP="00B0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письменные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CD6CAA" w:rsidRDefault="00CD6CAA" w:rsidP="00B0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FA7363" w:rsidRPr="0053752D" w:rsidRDefault="00FA7363" w:rsidP="00B0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в Администрацию муниципального образования «Дорогобужский район» Смоленской области (далее - Администрация) </w:t>
      </w:r>
      <w:r w:rsidRPr="0053752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F48F3" w:rsidRPr="0053752D">
        <w:rPr>
          <w:rFonts w:ascii="Times New Roman" w:hAnsi="Times New Roman" w:cs="Times New Roman"/>
          <w:sz w:val="28"/>
          <w:szCs w:val="28"/>
        </w:rPr>
        <w:t>482</w:t>
      </w:r>
      <w:r w:rsidR="00B06D02" w:rsidRPr="0053752D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1F48F3" w:rsidRPr="0053752D">
        <w:rPr>
          <w:rFonts w:ascii="Times New Roman" w:hAnsi="Times New Roman" w:cs="Times New Roman"/>
          <w:sz w:val="28"/>
          <w:szCs w:val="28"/>
        </w:rPr>
        <w:t>я</w:t>
      </w:r>
      <w:r w:rsidR="00B06D02" w:rsidRPr="0053752D">
        <w:rPr>
          <w:rFonts w:ascii="Times New Roman" w:hAnsi="Times New Roman" w:cs="Times New Roman"/>
          <w:sz w:val="28"/>
          <w:szCs w:val="28"/>
        </w:rPr>
        <w:t xml:space="preserve"> граждан, а также обращений в форме электронного документа, что на </w:t>
      </w:r>
      <w:r w:rsidR="0053752D" w:rsidRPr="0053752D">
        <w:rPr>
          <w:rFonts w:ascii="Times New Roman" w:hAnsi="Times New Roman" w:cs="Times New Roman"/>
          <w:sz w:val="28"/>
          <w:szCs w:val="28"/>
        </w:rPr>
        <w:t>18</w:t>
      </w:r>
      <w:r w:rsidR="005375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3752D" w:rsidRPr="0053752D">
        <w:rPr>
          <w:rFonts w:ascii="Times New Roman" w:hAnsi="Times New Roman" w:cs="Times New Roman"/>
          <w:sz w:val="28"/>
          <w:szCs w:val="28"/>
        </w:rPr>
        <w:t xml:space="preserve"> </w:t>
      </w:r>
      <w:r w:rsidR="00B06D02" w:rsidRPr="0053752D">
        <w:rPr>
          <w:rFonts w:ascii="Times New Roman" w:hAnsi="Times New Roman" w:cs="Times New Roman"/>
          <w:sz w:val="28"/>
          <w:szCs w:val="28"/>
        </w:rPr>
        <w:t>больше, чем за аналогичный период 2014 года (далее - АППГ).</w:t>
      </w:r>
      <w:r w:rsidRPr="005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62" w:rsidRPr="0053752D" w:rsidRDefault="00B06D02" w:rsidP="00B06D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53752D">
        <w:rPr>
          <w:rFonts w:ascii="Times New Roman" w:hAnsi="Times New Roman" w:cs="Times New Roman"/>
          <w:b/>
          <w:i/>
        </w:rPr>
        <w:t>Таблица 1. Распределение обращений, поступивших</w:t>
      </w:r>
      <w:r w:rsidR="004D2762" w:rsidRPr="0053752D">
        <w:rPr>
          <w:rFonts w:ascii="Times New Roman" w:hAnsi="Times New Roman" w:cs="Times New Roman"/>
          <w:b/>
          <w:i/>
        </w:rPr>
        <w:t xml:space="preserve"> </w:t>
      </w:r>
      <w:r w:rsidRPr="0053752D">
        <w:rPr>
          <w:rFonts w:ascii="Times New Roman" w:hAnsi="Times New Roman" w:cs="Times New Roman"/>
          <w:b/>
          <w:i/>
        </w:rPr>
        <w:t xml:space="preserve">в </w:t>
      </w:r>
      <w:proofErr w:type="gramStart"/>
      <w:r w:rsidRPr="0053752D">
        <w:rPr>
          <w:rFonts w:ascii="Times New Roman" w:hAnsi="Times New Roman" w:cs="Times New Roman"/>
          <w:b/>
          <w:i/>
        </w:rPr>
        <w:t>письменной</w:t>
      </w:r>
      <w:proofErr w:type="gramEnd"/>
      <w:r w:rsidRPr="0053752D">
        <w:rPr>
          <w:rFonts w:ascii="Times New Roman" w:hAnsi="Times New Roman" w:cs="Times New Roman"/>
          <w:b/>
          <w:i/>
        </w:rPr>
        <w:t xml:space="preserve"> </w:t>
      </w:r>
    </w:p>
    <w:p w:rsidR="00B06D02" w:rsidRPr="0053752D" w:rsidRDefault="00B06D02" w:rsidP="00B06D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53752D">
        <w:rPr>
          <w:rFonts w:ascii="Times New Roman" w:hAnsi="Times New Roman" w:cs="Times New Roman"/>
          <w:b/>
          <w:i/>
        </w:rPr>
        <w:t>форме</w:t>
      </w:r>
      <w:r w:rsidR="004D2762" w:rsidRPr="0053752D">
        <w:rPr>
          <w:rFonts w:ascii="Times New Roman" w:hAnsi="Times New Roman" w:cs="Times New Roman"/>
          <w:b/>
          <w:i/>
        </w:rPr>
        <w:t xml:space="preserve"> </w:t>
      </w:r>
      <w:r w:rsidRPr="0053752D">
        <w:rPr>
          <w:rFonts w:ascii="Times New Roman" w:hAnsi="Times New Roman" w:cs="Times New Roman"/>
          <w:b/>
          <w:i/>
        </w:rPr>
        <w:t>и форме электронного документа по месяцам</w:t>
      </w:r>
    </w:p>
    <w:p w:rsidR="004D2762" w:rsidRDefault="004D2762" w:rsidP="00B06D0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60"/>
        <w:gridCol w:w="761"/>
        <w:gridCol w:w="759"/>
        <w:gridCol w:w="759"/>
        <w:gridCol w:w="776"/>
        <w:gridCol w:w="759"/>
        <w:gridCol w:w="776"/>
        <w:gridCol w:w="776"/>
        <w:gridCol w:w="759"/>
        <w:gridCol w:w="759"/>
        <w:gridCol w:w="759"/>
        <w:gridCol w:w="759"/>
        <w:gridCol w:w="759"/>
      </w:tblGrid>
      <w:tr w:rsidR="0053752D" w:rsidTr="004D2762">
        <w:tc>
          <w:tcPr>
            <w:tcW w:w="803" w:type="dxa"/>
            <w:shd w:val="clear" w:color="auto" w:fill="F2F2F2" w:themeFill="background1" w:themeFillShade="F2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762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53752D" w:rsidTr="004D2762">
        <w:tc>
          <w:tcPr>
            <w:tcW w:w="803" w:type="dxa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Поступило</w:t>
            </w:r>
          </w:p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vAlign w:val="center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vAlign w:val="center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  <w:vAlign w:val="center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  <w:vAlign w:val="center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vAlign w:val="center"/>
          </w:tcPr>
          <w:p w:rsidR="004D2762" w:rsidRDefault="004D2762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vAlign w:val="center"/>
          </w:tcPr>
          <w:p w:rsidR="004D2762" w:rsidRDefault="001F48F3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  <w:vAlign w:val="center"/>
          </w:tcPr>
          <w:p w:rsidR="004D2762" w:rsidRDefault="001F48F3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2" w:type="dxa"/>
            <w:vAlign w:val="center"/>
          </w:tcPr>
          <w:p w:rsidR="004D2762" w:rsidRDefault="001F48F3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2" w:type="dxa"/>
            <w:vAlign w:val="center"/>
          </w:tcPr>
          <w:p w:rsidR="004D2762" w:rsidRDefault="001F48F3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2" w:type="dxa"/>
            <w:vAlign w:val="center"/>
          </w:tcPr>
          <w:p w:rsidR="004D2762" w:rsidRDefault="001F48F3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2" w:type="dxa"/>
            <w:vAlign w:val="center"/>
          </w:tcPr>
          <w:p w:rsidR="004D2762" w:rsidRDefault="001F48F3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752D" w:rsidTr="004D2762">
        <w:tc>
          <w:tcPr>
            <w:tcW w:w="803" w:type="dxa"/>
          </w:tcPr>
          <w:p w:rsidR="004D2762" w:rsidRPr="004D2762" w:rsidRDefault="004D2762" w:rsidP="004D27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2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Процент от общего количества обращений</w:t>
            </w:r>
          </w:p>
        </w:tc>
        <w:tc>
          <w:tcPr>
            <w:tcW w:w="803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01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01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1" w:type="dxa"/>
            <w:vAlign w:val="center"/>
          </w:tcPr>
          <w:p w:rsidR="004D2762" w:rsidRDefault="0053752D" w:rsidP="0053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1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1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01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01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2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4D2762" w:rsidRDefault="0053752D" w:rsidP="004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4D2762" w:rsidRDefault="004D2762" w:rsidP="004D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4B" w:rsidRDefault="0053334B" w:rsidP="004D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4B" w:rsidRDefault="0053334B" w:rsidP="004D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4B" w:rsidRDefault="0053334B" w:rsidP="004D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4B" w:rsidRDefault="0053334B" w:rsidP="004D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AA" w:rsidRDefault="0053334B" w:rsidP="00CD6CA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CAA">
        <w:rPr>
          <w:rFonts w:ascii="Arial" w:hAnsi="Arial" w:cs="Arial"/>
          <w:b/>
          <w:i/>
        </w:rPr>
        <w:t>Динамика поступления обращений граждан</w:t>
      </w:r>
      <w:r w:rsidR="00CD6CAA" w:rsidRPr="00CD6CAA">
        <w:rPr>
          <w:rFonts w:ascii="Arial" w:hAnsi="Arial" w:cs="Arial"/>
          <w:b/>
          <w:i/>
        </w:rPr>
        <w:t xml:space="preserve"> </w:t>
      </w:r>
      <w:r w:rsidRPr="00CD6CAA">
        <w:rPr>
          <w:rFonts w:ascii="Arial" w:hAnsi="Arial" w:cs="Arial"/>
          <w:b/>
          <w:i/>
        </w:rPr>
        <w:t>в Администрацию муниципального образования</w:t>
      </w:r>
      <w:r w:rsidR="00CD6CAA">
        <w:rPr>
          <w:rFonts w:ascii="Arial" w:hAnsi="Arial" w:cs="Arial"/>
          <w:b/>
          <w:i/>
        </w:rPr>
        <w:t xml:space="preserve"> </w:t>
      </w:r>
      <w:r w:rsidRPr="00CD6CAA">
        <w:rPr>
          <w:rFonts w:ascii="Arial" w:hAnsi="Arial" w:cs="Arial"/>
          <w:b/>
          <w:i/>
        </w:rPr>
        <w:t>«Дорогобужский район» Смоленской области</w:t>
      </w:r>
      <w:r w:rsidR="00CD6CAA" w:rsidRPr="00CD6CAA">
        <w:rPr>
          <w:rFonts w:ascii="Arial" w:hAnsi="Arial" w:cs="Arial"/>
          <w:b/>
          <w:i/>
        </w:rPr>
        <w:t xml:space="preserve"> </w:t>
      </w:r>
    </w:p>
    <w:p w:rsidR="0053334B" w:rsidRPr="00CD6CAA" w:rsidRDefault="0053334B" w:rsidP="00CD6CA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CAA">
        <w:rPr>
          <w:rFonts w:ascii="Arial" w:hAnsi="Arial" w:cs="Arial"/>
          <w:b/>
          <w:i/>
        </w:rPr>
        <w:t>по месяцам 2015 года в сравнении с 2014 годом</w:t>
      </w:r>
    </w:p>
    <w:p w:rsidR="0053334B" w:rsidRDefault="0053334B" w:rsidP="004D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A0" w:rsidRDefault="00305A7B" w:rsidP="0053334B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14A0" w:rsidRDefault="00A214A0" w:rsidP="00A214A0"/>
    <w:p w:rsidR="00A214A0" w:rsidRPr="00CD6CAA" w:rsidRDefault="00A214A0" w:rsidP="00A214A0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A">
        <w:rPr>
          <w:rFonts w:ascii="Times New Roman" w:hAnsi="Times New Roman" w:cs="Times New Roman"/>
          <w:b/>
          <w:sz w:val="28"/>
          <w:szCs w:val="28"/>
        </w:rPr>
        <w:t>Классификация обращений по категориям проблемных вопросов</w:t>
      </w:r>
    </w:p>
    <w:p w:rsidR="00A214A0" w:rsidRDefault="00A214A0" w:rsidP="00A214A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A0" w:rsidRDefault="00A214A0" w:rsidP="00A214A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чаще всего граждане обращались по следующей тематике:</w:t>
      </w:r>
    </w:p>
    <w:p w:rsidR="00A214A0" w:rsidRPr="00CF195F" w:rsidRDefault="00A214A0" w:rsidP="00CF195F">
      <w:pPr>
        <w:pStyle w:val="ab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 xml:space="preserve">земельные и имущественные отношения – 63 (на </w:t>
      </w:r>
      <w:r w:rsidR="00CF195F" w:rsidRPr="00CF195F">
        <w:rPr>
          <w:rFonts w:ascii="Times New Roman" w:hAnsi="Times New Roman" w:cs="Times New Roman"/>
          <w:sz w:val="28"/>
          <w:szCs w:val="28"/>
        </w:rPr>
        <w:t>21 обращение меньше, чем за АППГ</w:t>
      </w:r>
      <w:r w:rsidRPr="00CF195F">
        <w:rPr>
          <w:rFonts w:ascii="Times New Roman" w:hAnsi="Times New Roman" w:cs="Times New Roman"/>
          <w:sz w:val="28"/>
          <w:szCs w:val="28"/>
        </w:rPr>
        <w:t>);</w:t>
      </w:r>
    </w:p>
    <w:p w:rsidR="00A214A0" w:rsidRPr="00CF195F" w:rsidRDefault="00A214A0" w:rsidP="00CF195F">
      <w:pPr>
        <w:pStyle w:val="ab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 – 303</w:t>
      </w:r>
      <w:r w:rsidR="00CF195F">
        <w:rPr>
          <w:rFonts w:ascii="Times New Roman" w:hAnsi="Times New Roman" w:cs="Times New Roman"/>
          <w:sz w:val="28"/>
          <w:szCs w:val="28"/>
        </w:rPr>
        <w:t xml:space="preserve"> (на 35 обращений больше, чем за ААПГ)</w:t>
      </w:r>
      <w:r w:rsidRPr="00CF195F">
        <w:rPr>
          <w:rFonts w:ascii="Times New Roman" w:hAnsi="Times New Roman" w:cs="Times New Roman"/>
          <w:sz w:val="28"/>
          <w:szCs w:val="28"/>
        </w:rPr>
        <w:t>;</w:t>
      </w:r>
    </w:p>
    <w:p w:rsidR="00A214A0" w:rsidRPr="00CF195F" w:rsidRDefault="00A214A0" w:rsidP="00CF195F">
      <w:pPr>
        <w:pStyle w:val="ab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>улучшение жилищных условий – 20</w:t>
      </w:r>
      <w:r w:rsidR="00CF195F">
        <w:rPr>
          <w:rFonts w:ascii="Times New Roman" w:hAnsi="Times New Roman" w:cs="Times New Roman"/>
          <w:sz w:val="28"/>
          <w:szCs w:val="28"/>
        </w:rPr>
        <w:t xml:space="preserve"> (на 10 обращений больше, чем за ААПГ)</w:t>
      </w:r>
      <w:r w:rsidRPr="00CF195F">
        <w:rPr>
          <w:rFonts w:ascii="Times New Roman" w:hAnsi="Times New Roman" w:cs="Times New Roman"/>
          <w:sz w:val="28"/>
          <w:szCs w:val="28"/>
        </w:rPr>
        <w:t>;</w:t>
      </w:r>
    </w:p>
    <w:p w:rsidR="00A214A0" w:rsidRPr="00CF195F" w:rsidRDefault="00A214A0" w:rsidP="00CF195F">
      <w:pPr>
        <w:pStyle w:val="ab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>вопросы социального характера – 50</w:t>
      </w:r>
      <w:r w:rsidR="00CF195F">
        <w:rPr>
          <w:rFonts w:ascii="Times New Roman" w:hAnsi="Times New Roman" w:cs="Times New Roman"/>
          <w:sz w:val="28"/>
          <w:szCs w:val="28"/>
        </w:rPr>
        <w:t xml:space="preserve"> (на 4 обращения </w:t>
      </w:r>
      <w:r w:rsidR="00CF195F" w:rsidRPr="00CF195F">
        <w:rPr>
          <w:rFonts w:ascii="Times New Roman" w:hAnsi="Times New Roman" w:cs="Times New Roman"/>
          <w:sz w:val="28"/>
          <w:szCs w:val="28"/>
        </w:rPr>
        <w:t>меньше, чем за АППГ</w:t>
      </w:r>
      <w:r w:rsidR="00CF195F">
        <w:rPr>
          <w:rFonts w:ascii="Times New Roman" w:hAnsi="Times New Roman" w:cs="Times New Roman"/>
          <w:sz w:val="28"/>
          <w:szCs w:val="28"/>
        </w:rPr>
        <w:t>)</w:t>
      </w:r>
      <w:r w:rsidRPr="00CF195F">
        <w:rPr>
          <w:rFonts w:ascii="Times New Roman" w:hAnsi="Times New Roman" w:cs="Times New Roman"/>
          <w:sz w:val="28"/>
          <w:szCs w:val="28"/>
        </w:rPr>
        <w:t>;</w:t>
      </w:r>
    </w:p>
    <w:p w:rsidR="00A214A0" w:rsidRPr="00CF195F" w:rsidRDefault="00A214A0" w:rsidP="00CF195F">
      <w:pPr>
        <w:pStyle w:val="ab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12DCD">
        <w:rPr>
          <w:rFonts w:ascii="Times New Roman" w:hAnsi="Times New Roman" w:cs="Times New Roman"/>
          <w:sz w:val="28"/>
          <w:szCs w:val="28"/>
        </w:rPr>
        <w:t>транспортного сообщения</w:t>
      </w:r>
      <w:r w:rsidRPr="00CF195F">
        <w:rPr>
          <w:rFonts w:ascii="Times New Roman" w:hAnsi="Times New Roman" w:cs="Times New Roman"/>
          <w:sz w:val="28"/>
          <w:szCs w:val="28"/>
        </w:rPr>
        <w:t xml:space="preserve"> (в том числе газификация) – 21</w:t>
      </w:r>
      <w:r w:rsidR="00CF195F">
        <w:rPr>
          <w:rFonts w:ascii="Times New Roman" w:hAnsi="Times New Roman" w:cs="Times New Roman"/>
          <w:sz w:val="28"/>
          <w:szCs w:val="28"/>
        </w:rPr>
        <w:t xml:space="preserve"> (на 11 обращений </w:t>
      </w:r>
      <w:r w:rsidR="00CF195F" w:rsidRPr="00CF195F">
        <w:rPr>
          <w:rFonts w:ascii="Times New Roman" w:hAnsi="Times New Roman" w:cs="Times New Roman"/>
          <w:sz w:val="28"/>
          <w:szCs w:val="28"/>
        </w:rPr>
        <w:t>меньше, чем за АППГ</w:t>
      </w:r>
      <w:r w:rsidR="00CF195F">
        <w:rPr>
          <w:rFonts w:ascii="Times New Roman" w:hAnsi="Times New Roman" w:cs="Times New Roman"/>
          <w:sz w:val="28"/>
          <w:szCs w:val="28"/>
        </w:rPr>
        <w:t>)</w:t>
      </w:r>
      <w:r w:rsidRPr="00CF195F">
        <w:rPr>
          <w:rFonts w:ascii="Times New Roman" w:hAnsi="Times New Roman" w:cs="Times New Roman"/>
          <w:sz w:val="28"/>
          <w:szCs w:val="28"/>
        </w:rPr>
        <w:t>;</w:t>
      </w:r>
    </w:p>
    <w:p w:rsidR="00A214A0" w:rsidRPr="00CF195F" w:rsidRDefault="00A214A0" w:rsidP="00CF195F">
      <w:pPr>
        <w:pStyle w:val="ab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>другие – 25</w:t>
      </w:r>
      <w:r w:rsidR="00CF195F">
        <w:rPr>
          <w:rFonts w:ascii="Times New Roman" w:hAnsi="Times New Roman" w:cs="Times New Roman"/>
          <w:sz w:val="28"/>
          <w:szCs w:val="28"/>
        </w:rPr>
        <w:t xml:space="preserve"> (на 9 обращений больше, чем за ААПГ)</w:t>
      </w:r>
      <w:r w:rsidRPr="00CF195F">
        <w:rPr>
          <w:rFonts w:ascii="Times New Roman" w:hAnsi="Times New Roman" w:cs="Times New Roman"/>
          <w:sz w:val="28"/>
          <w:szCs w:val="28"/>
        </w:rPr>
        <w:t>.</w:t>
      </w:r>
    </w:p>
    <w:p w:rsidR="00D12DCD" w:rsidRDefault="00D12DCD" w:rsidP="00A214A0">
      <w:pPr>
        <w:tabs>
          <w:tab w:val="left" w:pos="1035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F195F" w:rsidRDefault="00CF195F" w:rsidP="00CF195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обращения граждан, поступившие в Администрацию можно отметить следующее:</w:t>
      </w:r>
    </w:p>
    <w:p w:rsidR="00CF195F" w:rsidRDefault="00CD6CAA" w:rsidP="00CF195F">
      <w:pPr>
        <w:pStyle w:val="ab"/>
        <w:numPr>
          <w:ilvl w:val="0"/>
          <w:numId w:val="3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вопросов </w:t>
      </w:r>
      <w:r w:rsidR="00CF195F"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касается сферы</w:t>
      </w:r>
      <w:r w:rsidR="00D12DC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</w:t>
      </w:r>
      <w:r w:rsidR="00D12DCD">
        <w:rPr>
          <w:rFonts w:ascii="Times New Roman" w:hAnsi="Times New Roman" w:cs="Times New Roman"/>
          <w:sz w:val="28"/>
          <w:szCs w:val="28"/>
        </w:rPr>
        <w:t>, а также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12DCD">
        <w:rPr>
          <w:rFonts w:ascii="Times New Roman" w:hAnsi="Times New Roman" w:cs="Times New Roman"/>
          <w:sz w:val="28"/>
          <w:szCs w:val="28"/>
        </w:rPr>
        <w:t xml:space="preserve"> улучшения жилищных условий граждан;</w:t>
      </w:r>
    </w:p>
    <w:p w:rsidR="00D12DCD" w:rsidRDefault="00D12DCD" w:rsidP="00CF195F">
      <w:pPr>
        <w:pStyle w:val="ab"/>
        <w:numPr>
          <w:ilvl w:val="0"/>
          <w:numId w:val="3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касающиеся земельных и имущественных отношений, социального характера, вопросы транспортного сообщения (в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газификации) имеют хоть и не большую, но все же тенденцию к снижению числа обращений.</w:t>
      </w:r>
    </w:p>
    <w:p w:rsidR="00D12DCD" w:rsidRDefault="00D12DCD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CD" w:rsidRDefault="00D12DCD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32004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B4F55" w:rsidRDefault="008B4F55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обращений, поступивших в адрес Администрации в 2015 году:</w:t>
      </w:r>
    </w:p>
    <w:p w:rsidR="008B4F55" w:rsidRDefault="008B4F55" w:rsidP="008B4F55">
      <w:pPr>
        <w:pStyle w:val="ab"/>
        <w:numPr>
          <w:ilvl w:val="0"/>
          <w:numId w:val="4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sz w:val="28"/>
          <w:szCs w:val="28"/>
        </w:rPr>
        <w:t xml:space="preserve">из Аппарата Администрации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6CBE">
        <w:rPr>
          <w:rFonts w:ascii="Times New Roman" w:hAnsi="Times New Roman" w:cs="Times New Roman"/>
          <w:sz w:val="28"/>
          <w:szCs w:val="28"/>
        </w:rPr>
        <w:t>39 обращений граждан</w:t>
      </w:r>
      <w:r w:rsidR="00A31C97">
        <w:rPr>
          <w:rFonts w:ascii="Times New Roman" w:hAnsi="Times New Roman" w:cs="Times New Roman"/>
          <w:sz w:val="28"/>
          <w:szCs w:val="28"/>
        </w:rPr>
        <w:t xml:space="preserve"> (на 13 меньше, чем за АППГ)</w:t>
      </w:r>
      <w:r w:rsidR="00686CBE">
        <w:rPr>
          <w:rFonts w:ascii="Times New Roman" w:hAnsi="Times New Roman" w:cs="Times New Roman"/>
          <w:sz w:val="28"/>
          <w:szCs w:val="28"/>
        </w:rPr>
        <w:t>;</w:t>
      </w:r>
    </w:p>
    <w:p w:rsidR="008B4F55" w:rsidRPr="008B4F55" w:rsidRDefault="008B4F55" w:rsidP="008B4F55">
      <w:pPr>
        <w:pStyle w:val="ab"/>
        <w:numPr>
          <w:ilvl w:val="0"/>
          <w:numId w:val="4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Управления Президента РФ </w:t>
      </w:r>
      <w:r w:rsidR="00686C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BE">
        <w:rPr>
          <w:rFonts w:ascii="Times New Roman" w:hAnsi="Times New Roman" w:cs="Times New Roman"/>
          <w:sz w:val="28"/>
          <w:szCs w:val="28"/>
        </w:rPr>
        <w:t>34 обращения граждан</w:t>
      </w:r>
      <w:r w:rsidR="00A31C97">
        <w:rPr>
          <w:rFonts w:ascii="Times New Roman" w:hAnsi="Times New Roman" w:cs="Times New Roman"/>
          <w:sz w:val="28"/>
          <w:szCs w:val="28"/>
        </w:rPr>
        <w:t xml:space="preserve"> (на 11 больше, чем за АППГ)</w:t>
      </w:r>
      <w:r w:rsidR="00686CBE">
        <w:rPr>
          <w:rFonts w:ascii="Times New Roman" w:hAnsi="Times New Roman" w:cs="Times New Roman"/>
          <w:sz w:val="28"/>
          <w:szCs w:val="28"/>
        </w:rPr>
        <w:t>.</w:t>
      </w:r>
    </w:p>
    <w:p w:rsidR="008B4F55" w:rsidRDefault="008B4F55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CD" w:rsidRDefault="00CD6CAA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показывает, что в Администрацию обращаются различные категории граждан, независимо от социального положения и уровня жизни. </w:t>
      </w:r>
      <w:r w:rsidR="00D12DCD">
        <w:rPr>
          <w:rFonts w:ascii="Times New Roman" w:hAnsi="Times New Roman" w:cs="Times New Roman"/>
          <w:sz w:val="28"/>
          <w:szCs w:val="28"/>
        </w:rPr>
        <w:t xml:space="preserve">Динамика последних лет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="00D12DCD">
        <w:rPr>
          <w:rFonts w:ascii="Times New Roman" w:hAnsi="Times New Roman" w:cs="Times New Roman"/>
          <w:sz w:val="28"/>
          <w:szCs w:val="28"/>
        </w:rPr>
        <w:t xml:space="preserve">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CD6CAA" w:rsidRDefault="00CD6CAA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AA" w:rsidRPr="00CD6CAA" w:rsidRDefault="00CD6CAA" w:rsidP="00CD6CAA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A">
        <w:rPr>
          <w:rFonts w:ascii="Times New Roman" w:hAnsi="Times New Roman" w:cs="Times New Roman"/>
          <w:b/>
          <w:sz w:val="28"/>
          <w:szCs w:val="28"/>
        </w:rPr>
        <w:t>Личные приемы граждан</w:t>
      </w:r>
    </w:p>
    <w:p w:rsidR="00CD6CAA" w:rsidRDefault="00CD6CAA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AA" w:rsidRDefault="00CD6CAA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 личном приеме к должностным лицам Администрации, обратились </w:t>
      </w:r>
      <w:r w:rsidR="00505B0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Дорогобужского района, что на </w:t>
      </w:r>
      <w:r w:rsidR="00505B0E">
        <w:rPr>
          <w:rFonts w:ascii="Times New Roman" w:hAnsi="Times New Roman" w:cs="Times New Roman"/>
          <w:sz w:val="28"/>
          <w:szCs w:val="28"/>
        </w:rPr>
        <w:t>11 человек меньше, чем за АППГ.</w:t>
      </w:r>
    </w:p>
    <w:p w:rsidR="00505B0E" w:rsidRDefault="00505B0E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должностным лицам Администрации обращались в основном по вопросам жилищно-коммунального хозяйтсва (21 обращение), имущественных и земельных отношений (6 обращений), улучшения жилищных условий (7 обращений) и другим (12 обращений). </w:t>
      </w:r>
    </w:p>
    <w:p w:rsidR="00505B0E" w:rsidRDefault="00505B0E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создана приемная </w:t>
      </w:r>
      <w:r w:rsidR="00434D40">
        <w:rPr>
          <w:rFonts w:ascii="Times New Roman" w:hAnsi="Times New Roman" w:cs="Times New Roman"/>
          <w:sz w:val="28"/>
          <w:szCs w:val="28"/>
        </w:rPr>
        <w:t xml:space="preserve">по обращениям граждан, осуществляющая работу в рамках реализации права гражданина на личное обращение в органы местного самоуправления, закрепленного за ним Конституцией </w:t>
      </w:r>
      <w:r w:rsidR="00434D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(утверждена постановление Администрации муниципального образования «Дорогобужский район» Смоленской области от 26.03.2015 № 219). </w:t>
      </w:r>
    </w:p>
    <w:p w:rsidR="00434D40" w:rsidRDefault="00434D40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одним из важных направлений деятельности Администрации муниципального образования «Дорогобужский район» Смоленской области.</w:t>
      </w:r>
    </w:p>
    <w:p w:rsidR="00434D40" w:rsidRDefault="00434D40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главную задачу Администрация видит в объективном, всестороннем и своевременном рассмотрении обращений граждан, а также оказании содействия заявителям в защите их прав и законных интересов. </w:t>
      </w:r>
    </w:p>
    <w:p w:rsidR="00D12DCD" w:rsidRPr="00D12DCD" w:rsidRDefault="00D12DCD" w:rsidP="00D12DCD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A0" w:rsidRDefault="00A214A0" w:rsidP="00A214A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A0" w:rsidRDefault="00A214A0" w:rsidP="00A214A0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4A0" w:rsidSect="00FA7363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CD" w:rsidRDefault="00157DCD" w:rsidP="0053334B">
      <w:pPr>
        <w:spacing w:after="0" w:line="240" w:lineRule="auto"/>
      </w:pPr>
      <w:r>
        <w:separator/>
      </w:r>
    </w:p>
  </w:endnote>
  <w:endnote w:type="continuationSeparator" w:id="0">
    <w:p w:rsidR="00157DCD" w:rsidRDefault="00157DCD" w:rsidP="0053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110"/>
      <w:docPartObj>
        <w:docPartGallery w:val="Page Numbers (Bottom of Page)"/>
        <w:docPartUnique/>
      </w:docPartObj>
    </w:sdtPr>
    <w:sdtContent>
      <w:p w:rsidR="00434D40" w:rsidRDefault="00EE378F">
        <w:pPr>
          <w:pStyle w:val="a8"/>
          <w:jc w:val="right"/>
        </w:pPr>
        <w:fldSimple w:instr=" PAGE   \* MERGEFORMAT ">
          <w:r w:rsidR="0070464E">
            <w:rPr>
              <w:noProof/>
            </w:rPr>
            <w:t>4</w:t>
          </w:r>
        </w:fldSimple>
      </w:p>
    </w:sdtContent>
  </w:sdt>
  <w:p w:rsidR="00434D40" w:rsidRDefault="00434D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CD" w:rsidRDefault="00157DCD" w:rsidP="0053334B">
      <w:pPr>
        <w:spacing w:after="0" w:line="240" w:lineRule="auto"/>
      </w:pPr>
      <w:r>
        <w:separator/>
      </w:r>
    </w:p>
  </w:footnote>
  <w:footnote w:type="continuationSeparator" w:id="0">
    <w:p w:rsidR="00157DCD" w:rsidRDefault="00157DCD" w:rsidP="0053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C4"/>
    <w:multiLevelType w:val="hybridMultilevel"/>
    <w:tmpl w:val="B628BD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4B24D79"/>
    <w:multiLevelType w:val="hybridMultilevel"/>
    <w:tmpl w:val="9B2EA75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8F114ED"/>
    <w:multiLevelType w:val="hybridMultilevel"/>
    <w:tmpl w:val="14100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947DB2"/>
    <w:multiLevelType w:val="hybridMultilevel"/>
    <w:tmpl w:val="C422D5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363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0356"/>
    <w:rsid w:val="00072774"/>
    <w:rsid w:val="000A71A1"/>
    <w:rsid w:val="000B2C55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4AD4"/>
    <w:rsid w:val="00135CD1"/>
    <w:rsid w:val="00141FB5"/>
    <w:rsid w:val="00144C31"/>
    <w:rsid w:val="00152849"/>
    <w:rsid w:val="0015533D"/>
    <w:rsid w:val="00157291"/>
    <w:rsid w:val="00157DCD"/>
    <w:rsid w:val="001628A6"/>
    <w:rsid w:val="00173045"/>
    <w:rsid w:val="00174D07"/>
    <w:rsid w:val="00180071"/>
    <w:rsid w:val="00180D1D"/>
    <w:rsid w:val="001826F5"/>
    <w:rsid w:val="00182BAD"/>
    <w:rsid w:val="001954E2"/>
    <w:rsid w:val="001963FC"/>
    <w:rsid w:val="001A2F2E"/>
    <w:rsid w:val="001B0E44"/>
    <w:rsid w:val="001B5DBE"/>
    <w:rsid w:val="001D1E42"/>
    <w:rsid w:val="001D7FAF"/>
    <w:rsid w:val="001E09ED"/>
    <w:rsid w:val="001E4CF2"/>
    <w:rsid w:val="001E62FB"/>
    <w:rsid w:val="001E6325"/>
    <w:rsid w:val="001E6882"/>
    <w:rsid w:val="001E7E50"/>
    <w:rsid w:val="001F32D5"/>
    <w:rsid w:val="001F48F3"/>
    <w:rsid w:val="001F4B58"/>
    <w:rsid w:val="00200225"/>
    <w:rsid w:val="00200CF1"/>
    <w:rsid w:val="00203FCF"/>
    <w:rsid w:val="00205EF0"/>
    <w:rsid w:val="0020653E"/>
    <w:rsid w:val="00211573"/>
    <w:rsid w:val="00212C28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C4193"/>
    <w:rsid w:val="002C7D10"/>
    <w:rsid w:val="002D0DC6"/>
    <w:rsid w:val="002D747B"/>
    <w:rsid w:val="002E5436"/>
    <w:rsid w:val="002F4C93"/>
    <w:rsid w:val="002F6D2C"/>
    <w:rsid w:val="002F6EA1"/>
    <w:rsid w:val="00302410"/>
    <w:rsid w:val="00304DAE"/>
    <w:rsid w:val="00305A7B"/>
    <w:rsid w:val="003104E7"/>
    <w:rsid w:val="003125CF"/>
    <w:rsid w:val="003141C7"/>
    <w:rsid w:val="003206DB"/>
    <w:rsid w:val="00321F89"/>
    <w:rsid w:val="00324F30"/>
    <w:rsid w:val="003272BD"/>
    <w:rsid w:val="00337C39"/>
    <w:rsid w:val="00346AD5"/>
    <w:rsid w:val="00355459"/>
    <w:rsid w:val="0036129D"/>
    <w:rsid w:val="00362608"/>
    <w:rsid w:val="0037221F"/>
    <w:rsid w:val="00373C8B"/>
    <w:rsid w:val="00381056"/>
    <w:rsid w:val="003830D1"/>
    <w:rsid w:val="00384DC3"/>
    <w:rsid w:val="0038787F"/>
    <w:rsid w:val="003918D1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15F95"/>
    <w:rsid w:val="004246E7"/>
    <w:rsid w:val="00432747"/>
    <w:rsid w:val="00434D40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95132"/>
    <w:rsid w:val="004B16F9"/>
    <w:rsid w:val="004C1A64"/>
    <w:rsid w:val="004D2762"/>
    <w:rsid w:val="004D799C"/>
    <w:rsid w:val="004E2579"/>
    <w:rsid w:val="004E2DF7"/>
    <w:rsid w:val="00501A73"/>
    <w:rsid w:val="00505B0E"/>
    <w:rsid w:val="005310C3"/>
    <w:rsid w:val="00532048"/>
    <w:rsid w:val="005325FD"/>
    <w:rsid w:val="0053307B"/>
    <w:rsid w:val="0053334B"/>
    <w:rsid w:val="0053752D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1C11"/>
    <w:rsid w:val="005C43B1"/>
    <w:rsid w:val="005D0246"/>
    <w:rsid w:val="005D080E"/>
    <w:rsid w:val="005E5273"/>
    <w:rsid w:val="005E547E"/>
    <w:rsid w:val="005F604F"/>
    <w:rsid w:val="00603093"/>
    <w:rsid w:val="00610FF8"/>
    <w:rsid w:val="006124DF"/>
    <w:rsid w:val="0061698A"/>
    <w:rsid w:val="006173D6"/>
    <w:rsid w:val="006178AF"/>
    <w:rsid w:val="006238EA"/>
    <w:rsid w:val="00633229"/>
    <w:rsid w:val="00633CFF"/>
    <w:rsid w:val="00646EB4"/>
    <w:rsid w:val="00654ABB"/>
    <w:rsid w:val="00677859"/>
    <w:rsid w:val="0068259D"/>
    <w:rsid w:val="006866C5"/>
    <w:rsid w:val="00686CBE"/>
    <w:rsid w:val="00686D2A"/>
    <w:rsid w:val="00690AAB"/>
    <w:rsid w:val="00692C6F"/>
    <w:rsid w:val="006A3DC1"/>
    <w:rsid w:val="006A60F0"/>
    <w:rsid w:val="006C2B24"/>
    <w:rsid w:val="006C5CA4"/>
    <w:rsid w:val="006C657A"/>
    <w:rsid w:val="006D302F"/>
    <w:rsid w:val="006D3559"/>
    <w:rsid w:val="006D35F5"/>
    <w:rsid w:val="006E2004"/>
    <w:rsid w:val="006E4907"/>
    <w:rsid w:val="006F165A"/>
    <w:rsid w:val="006F57D2"/>
    <w:rsid w:val="0070151A"/>
    <w:rsid w:val="007035BE"/>
    <w:rsid w:val="0070464E"/>
    <w:rsid w:val="0070653A"/>
    <w:rsid w:val="00710B6B"/>
    <w:rsid w:val="00713E74"/>
    <w:rsid w:val="00714DAF"/>
    <w:rsid w:val="007204DA"/>
    <w:rsid w:val="00722258"/>
    <w:rsid w:val="00724F20"/>
    <w:rsid w:val="0073067D"/>
    <w:rsid w:val="0073088E"/>
    <w:rsid w:val="007321D9"/>
    <w:rsid w:val="0074350F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A3652"/>
    <w:rsid w:val="007A3962"/>
    <w:rsid w:val="007B2014"/>
    <w:rsid w:val="007B2AE7"/>
    <w:rsid w:val="007B4AFA"/>
    <w:rsid w:val="007C2330"/>
    <w:rsid w:val="007E7C00"/>
    <w:rsid w:val="0081143A"/>
    <w:rsid w:val="00812D16"/>
    <w:rsid w:val="008155EE"/>
    <w:rsid w:val="00822389"/>
    <w:rsid w:val="00825146"/>
    <w:rsid w:val="008409EF"/>
    <w:rsid w:val="0084672F"/>
    <w:rsid w:val="00856CC8"/>
    <w:rsid w:val="00857CDA"/>
    <w:rsid w:val="008638FD"/>
    <w:rsid w:val="00866E30"/>
    <w:rsid w:val="00882252"/>
    <w:rsid w:val="00895A40"/>
    <w:rsid w:val="008967FC"/>
    <w:rsid w:val="008A4A93"/>
    <w:rsid w:val="008A721D"/>
    <w:rsid w:val="008B32EE"/>
    <w:rsid w:val="008B44D4"/>
    <w:rsid w:val="008B4BCF"/>
    <w:rsid w:val="008B4F55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3997"/>
    <w:rsid w:val="00994C43"/>
    <w:rsid w:val="009B0C65"/>
    <w:rsid w:val="009B6619"/>
    <w:rsid w:val="009C4388"/>
    <w:rsid w:val="009D3111"/>
    <w:rsid w:val="009D44B5"/>
    <w:rsid w:val="009D4B21"/>
    <w:rsid w:val="009E1F88"/>
    <w:rsid w:val="009F08FD"/>
    <w:rsid w:val="009F37A3"/>
    <w:rsid w:val="009F79D8"/>
    <w:rsid w:val="00A016BA"/>
    <w:rsid w:val="00A06C0B"/>
    <w:rsid w:val="00A1289B"/>
    <w:rsid w:val="00A1403E"/>
    <w:rsid w:val="00A152AC"/>
    <w:rsid w:val="00A214A0"/>
    <w:rsid w:val="00A2396C"/>
    <w:rsid w:val="00A2560D"/>
    <w:rsid w:val="00A30877"/>
    <w:rsid w:val="00A31C97"/>
    <w:rsid w:val="00A3494E"/>
    <w:rsid w:val="00A4684B"/>
    <w:rsid w:val="00A5243F"/>
    <w:rsid w:val="00A66374"/>
    <w:rsid w:val="00A743CF"/>
    <w:rsid w:val="00A805A1"/>
    <w:rsid w:val="00A84FFB"/>
    <w:rsid w:val="00A925D2"/>
    <w:rsid w:val="00A95266"/>
    <w:rsid w:val="00A96147"/>
    <w:rsid w:val="00A9620E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6D02"/>
    <w:rsid w:val="00B07348"/>
    <w:rsid w:val="00B12910"/>
    <w:rsid w:val="00B1449C"/>
    <w:rsid w:val="00B1589A"/>
    <w:rsid w:val="00B16BD3"/>
    <w:rsid w:val="00B17150"/>
    <w:rsid w:val="00B2404E"/>
    <w:rsid w:val="00B3480C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10213"/>
    <w:rsid w:val="00C22684"/>
    <w:rsid w:val="00C32B31"/>
    <w:rsid w:val="00C3318F"/>
    <w:rsid w:val="00C42256"/>
    <w:rsid w:val="00C43B67"/>
    <w:rsid w:val="00C4633D"/>
    <w:rsid w:val="00C523B6"/>
    <w:rsid w:val="00C541D0"/>
    <w:rsid w:val="00C60CA7"/>
    <w:rsid w:val="00C6425F"/>
    <w:rsid w:val="00C70D88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7CE8"/>
    <w:rsid w:val="00CC3E45"/>
    <w:rsid w:val="00CD6CAA"/>
    <w:rsid w:val="00CE450C"/>
    <w:rsid w:val="00CE4B93"/>
    <w:rsid w:val="00CF195F"/>
    <w:rsid w:val="00CF44E4"/>
    <w:rsid w:val="00D12A0D"/>
    <w:rsid w:val="00D12DCD"/>
    <w:rsid w:val="00D170EB"/>
    <w:rsid w:val="00D20F51"/>
    <w:rsid w:val="00D22F02"/>
    <w:rsid w:val="00D23512"/>
    <w:rsid w:val="00D33989"/>
    <w:rsid w:val="00D44DA9"/>
    <w:rsid w:val="00D52F69"/>
    <w:rsid w:val="00D637C0"/>
    <w:rsid w:val="00D72981"/>
    <w:rsid w:val="00D73121"/>
    <w:rsid w:val="00D75912"/>
    <w:rsid w:val="00D83875"/>
    <w:rsid w:val="00D86D94"/>
    <w:rsid w:val="00D87B93"/>
    <w:rsid w:val="00D912B3"/>
    <w:rsid w:val="00D93F34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5BEC"/>
    <w:rsid w:val="00DE651B"/>
    <w:rsid w:val="00DE755E"/>
    <w:rsid w:val="00DF2647"/>
    <w:rsid w:val="00E05687"/>
    <w:rsid w:val="00E10A16"/>
    <w:rsid w:val="00E2130D"/>
    <w:rsid w:val="00E24302"/>
    <w:rsid w:val="00E34574"/>
    <w:rsid w:val="00E40C33"/>
    <w:rsid w:val="00E423B4"/>
    <w:rsid w:val="00E42F1B"/>
    <w:rsid w:val="00E52BE2"/>
    <w:rsid w:val="00E5611A"/>
    <w:rsid w:val="00E6387E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378F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9C0"/>
    <w:rsid w:val="00F2081C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16FF"/>
    <w:rsid w:val="00FA6B16"/>
    <w:rsid w:val="00FA7363"/>
    <w:rsid w:val="00FB09C4"/>
    <w:rsid w:val="00FB2435"/>
    <w:rsid w:val="00FC6EB4"/>
    <w:rsid w:val="00FD1E57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A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34B"/>
  </w:style>
  <w:style w:type="paragraph" w:styleId="a8">
    <w:name w:val="footer"/>
    <w:basedOn w:val="a"/>
    <w:link w:val="a9"/>
    <w:uiPriority w:val="99"/>
    <w:unhideWhenUsed/>
    <w:rsid w:val="005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34B"/>
  </w:style>
  <w:style w:type="paragraph" w:styleId="aa">
    <w:name w:val="caption"/>
    <w:basedOn w:val="a"/>
    <w:next w:val="a"/>
    <w:uiPriority w:val="35"/>
    <w:unhideWhenUsed/>
    <w:qFormat/>
    <w:rsid w:val="005333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CF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4"/>
              <c:layout>
                <c:manualLayout>
                  <c:x val="-1.929260450160776E-2"/>
                  <c:y val="4.7619047619047644E-2"/>
                </c:manualLayout>
              </c:layout>
              <c:showVal val="1"/>
            </c:dLbl>
            <c:dLbl>
              <c:idx val="11"/>
              <c:layout>
                <c:manualLayout>
                  <c:x val="-2.3579849946409454E-2"/>
                  <c:y val="-4.7619047619047644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19</c:v>
                </c:pt>
                <c:pt idx="1">
                  <c:v>35</c:v>
                </c:pt>
                <c:pt idx="2">
                  <c:v>27</c:v>
                </c:pt>
                <c:pt idx="3">
                  <c:v>35</c:v>
                </c:pt>
                <c:pt idx="4">
                  <c:v>27</c:v>
                </c:pt>
                <c:pt idx="5">
                  <c:v>26</c:v>
                </c:pt>
                <c:pt idx="6">
                  <c:v>60</c:v>
                </c:pt>
                <c:pt idx="7">
                  <c:v>72</c:v>
                </c:pt>
                <c:pt idx="8">
                  <c:v>38</c:v>
                </c:pt>
                <c:pt idx="9">
                  <c:v>52</c:v>
                </c:pt>
                <c:pt idx="10">
                  <c:v>32</c:v>
                </c:pt>
                <c:pt idx="11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6"/>
              <c:layout>
                <c:manualLayout>
                  <c:x val="-3.8585209003215458E-2"/>
                  <c:y val="-3.9682539682539722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19</c:v>
                </c:pt>
                <c:pt idx="1">
                  <c:v>27</c:v>
                </c:pt>
                <c:pt idx="2">
                  <c:v>38</c:v>
                </c:pt>
                <c:pt idx="3">
                  <c:v>50</c:v>
                </c:pt>
                <c:pt idx="4">
                  <c:v>39</c:v>
                </c:pt>
                <c:pt idx="5">
                  <c:v>68</c:v>
                </c:pt>
                <c:pt idx="6">
                  <c:v>51</c:v>
                </c:pt>
                <c:pt idx="7">
                  <c:v>36</c:v>
                </c:pt>
                <c:pt idx="8">
                  <c:v>44</c:v>
                </c:pt>
                <c:pt idx="9">
                  <c:v>39</c:v>
                </c:pt>
                <c:pt idx="10">
                  <c:v>37</c:v>
                </c:pt>
                <c:pt idx="11">
                  <c:v>34</c:v>
                </c:pt>
              </c:numCache>
            </c:numRef>
          </c:val>
        </c:ser>
        <c:marker val="1"/>
        <c:axId val="85005824"/>
        <c:axId val="85007360"/>
      </c:lineChart>
      <c:catAx>
        <c:axId val="85005824"/>
        <c:scaling>
          <c:orientation val="minMax"/>
        </c:scaling>
        <c:axPos val="b"/>
        <c:numFmt formatCode="General" sourceLinked="1"/>
        <c:tickLblPos val="nextTo"/>
        <c:crossAx val="85007360"/>
        <c:crosses val="autoZero"/>
        <c:auto val="1"/>
        <c:lblAlgn val="ctr"/>
        <c:lblOffset val="100"/>
      </c:catAx>
      <c:valAx>
        <c:axId val="85007360"/>
        <c:scaling>
          <c:orientation val="minMax"/>
        </c:scaling>
        <c:axPos val="l"/>
        <c:majorGridlines/>
        <c:numFmt formatCode="General" sourceLinked="1"/>
        <c:tickLblPos val="nextTo"/>
        <c:crossAx val="85005824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376148293963273"/>
          <c:y val="0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208114610673669E-2"/>
          <c:y val="0.20498500187476582"/>
          <c:w val="0.52028634441528088"/>
          <c:h val="0.65471253593300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обращений граждан, поступивших в письменной форме и в форме электронного документа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2150043744531934E-2"/>
                  <c:y val="-2.1167354080739911E-2"/>
                </c:manualLayout>
              </c:layout>
              <c:showVal val="1"/>
            </c:dLbl>
            <c:dLbl>
              <c:idx val="1"/>
              <c:layout>
                <c:manualLayout>
                  <c:x val="6.1380869058034422E-2"/>
                  <c:y val="-1.9145419322584695E-2"/>
                </c:manualLayout>
              </c:layout>
              <c:showVal val="1"/>
            </c:dLbl>
            <c:dLbl>
              <c:idx val="2"/>
              <c:layout>
                <c:manualLayout>
                  <c:x val="-1.4309474336541271E-2"/>
                  <c:y val="2.9005749281339858E-3"/>
                </c:manualLayout>
              </c:layout>
              <c:showVal val="1"/>
            </c:dLbl>
            <c:dLbl>
              <c:idx val="3"/>
              <c:layout>
                <c:manualLayout>
                  <c:x val="-4.3323490813648412E-3"/>
                  <c:y val="-2.0735220597425365E-2"/>
                </c:manualLayout>
              </c:layout>
              <c:showVal val="1"/>
            </c:dLbl>
            <c:dLbl>
              <c:idx val="4"/>
              <c:layout>
                <c:manualLayout>
                  <c:x val="2.5371190580344177E-2"/>
                  <c:y val="-1.787839020122484E-2"/>
                </c:manualLayout>
              </c:layout>
              <c:showVal val="1"/>
            </c:dLbl>
            <c:dLbl>
              <c:idx val="5"/>
              <c:layout>
                <c:manualLayout>
                  <c:x val="5.7257217847769083E-2"/>
                  <c:y val="-1.959723784526934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земельные и имущественные отношения</c:v>
                </c:pt>
                <c:pt idx="1">
                  <c:v>вопросы жилищно-коммунального хозяйства</c:v>
                </c:pt>
                <c:pt idx="2">
                  <c:v>улучшение жилищных условий</c:v>
                </c:pt>
                <c:pt idx="3">
                  <c:v>вопросы социального характера</c:v>
                </c:pt>
                <c:pt idx="4">
                  <c:v>вопросы транспортного сообщения (в том числе газификация)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</c:v>
                </c:pt>
                <c:pt idx="1">
                  <c:v>303</c:v>
                </c:pt>
                <c:pt idx="2">
                  <c:v>20</c:v>
                </c:pt>
                <c:pt idx="3">
                  <c:v>50</c:v>
                </c:pt>
                <c:pt idx="4">
                  <c:v>21</c:v>
                </c:pt>
                <c:pt idx="5">
                  <c:v>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Упраление делами</cp:lastModifiedBy>
  <cp:revision>3</cp:revision>
  <dcterms:created xsi:type="dcterms:W3CDTF">2016-02-18T05:37:00Z</dcterms:created>
  <dcterms:modified xsi:type="dcterms:W3CDTF">2016-02-18T05:39:00Z</dcterms:modified>
</cp:coreProperties>
</file>